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42C8C" w14:textId="2B8C5D04" w:rsidR="00BD3F8A" w:rsidRPr="00AF23E4" w:rsidRDefault="000C68E5" w:rsidP="000B0A43">
      <w:pPr>
        <w:pStyle w:val="Caption"/>
        <w:rPr>
          <w:sz w:val="28"/>
          <w:szCs w:val="22"/>
        </w:rPr>
      </w:pPr>
      <w:r w:rsidRPr="00AF23E4">
        <w:rPr>
          <w:sz w:val="28"/>
          <w:szCs w:val="22"/>
        </w:rPr>
        <w:t>A summary</w:t>
      </w:r>
      <w:r w:rsidR="00640E54" w:rsidRPr="00AF23E4">
        <w:rPr>
          <w:sz w:val="28"/>
          <w:szCs w:val="22"/>
        </w:rPr>
        <w:t xml:space="preserve"> of the methodology </w:t>
      </w:r>
      <w:r w:rsidRPr="00AF23E4">
        <w:rPr>
          <w:sz w:val="28"/>
          <w:szCs w:val="22"/>
        </w:rPr>
        <w:t xml:space="preserve">for the Material Flow Analysis </w:t>
      </w:r>
      <w:r w:rsidR="004A3BB7" w:rsidRPr="00AF23E4">
        <w:rPr>
          <w:sz w:val="28"/>
          <w:szCs w:val="22"/>
        </w:rPr>
        <w:t>conducted for the International Aluminium Institute (IAI)</w:t>
      </w:r>
    </w:p>
    <w:p w14:paraId="7444A501" w14:textId="77777777" w:rsidR="008C29A6" w:rsidRPr="00AF23E4" w:rsidRDefault="008C29A6" w:rsidP="00C609E7"/>
    <w:p w14:paraId="087B02AA" w14:textId="54303A9E" w:rsidR="008C29A6" w:rsidRPr="00AF23E4" w:rsidRDefault="008C29A6" w:rsidP="008C29A6">
      <w:pPr>
        <w:pStyle w:val="Caption"/>
      </w:pPr>
      <w:r w:rsidRPr="00AF23E4">
        <w:t xml:space="preserve">Date: </w:t>
      </w:r>
      <w:r w:rsidR="00300E69" w:rsidRPr="00AF23E4">
        <w:t>February</w:t>
      </w:r>
      <w:r w:rsidR="00D0729D" w:rsidRPr="00AF23E4">
        <w:t xml:space="preserve"> </w:t>
      </w:r>
      <w:r w:rsidRPr="00AF23E4">
        <w:t>20</w:t>
      </w:r>
      <w:r w:rsidR="00493048" w:rsidRPr="00AF23E4">
        <w:t>2</w:t>
      </w:r>
      <w:r w:rsidR="00D0729D" w:rsidRPr="00AF23E4">
        <w:t>2</w:t>
      </w:r>
    </w:p>
    <w:p w14:paraId="7221EB6D" w14:textId="5945AD9E" w:rsidR="008C29A6" w:rsidRPr="00AF23E4" w:rsidRDefault="008C29A6" w:rsidP="008C29A6">
      <w:pPr>
        <w:pStyle w:val="Caption"/>
      </w:pPr>
      <w:r w:rsidRPr="00AF23E4">
        <w:t>Author</w:t>
      </w:r>
      <w:r w:rsidR="000C68E5" w:rsidRPr="00AF23E4">
        <w:t>s</w:t>
      </w:r>
      <w:r w:rsidRPr="00AF23E4">
        <w:t xml:space="preserve">: </w:t>
      </w:r>
      <w:r w:rsidR="00493048" w:rsidRPr="00AF23E4">
        <w:t>James Brook</w:t>
      </w:r>
      <w:r w:rsidR="00BE1A18" w:rsidRPr="00AF23E4">
        <w:t>e</w:t>
      </w:r>
    </w:p>
    <w:p w14:paraId="1A51B33B" w14:textId="77777777" w:rsidR="008C29A6" w:rsidRPr="00AF23E4" w:rsidRDefault="008C29A6" w:rsidP="008C29A6">
      <w:pPr>
        <w:pStyle w:val="Heading1"/>
      </w:pPr>
      <w:r w:rsidRPr="00AF23E4">
        <w:t>Introduction</w:t>
      </w:r>
    </w:p>
    <w:p w14:paraId="7F52DC44" w14:textId="0AF63AC8" w:rsidR="00CB7DA6" w:rsidRPr="00AF23E4" w:rsidRDefault="00CA630C" w:rsidP="00FE486A">
      <w:r w:rsidRPr="00AF23E4">
        <w:t xml:space="preserve">On the </w:t>
      </w:r>
      <w:r w:rsidR="00856740" w:rsidRPr="00AF23E4">
        <w:t>behalf of the</w:t>
      </w:r>
      <w:r w:rsidR="00766645" w:rsidRPr="00AF23E4">
        <w:t xml:space="preserve"> International Aluminium Institute (IAI)</w:t>
      </w:r>
      <w:r w:rsidRPr="00AF23E4">
        <w:t>, Eunomia has</w:t>
      </w:r>
      <w:r w:rsidR="00495E85" w:rsidRPr="00AF23E4">
        <w:t xml:space="preserve"> </w:t>
      </w:r>
      <w:r w:rsidR="000C69AC" w:rsidRPr="00AF23E4">
        <w:t>buil</w:t>
      </w:r>
      <w:r w:rsidRPr="00AF23E4">
        <w:t>t</w:t>
      </w:r>
      <w:r w:rsidR="000C69AC" w:rsidRPr="00AF23E4">
        <w:t xml:space="preserve"> </w:t>
      </w:r>
      <w:r w:rsidR="00D0729D" w:rsidRPr="00AF23E4">
        <w:t>a</w:t>
      </w:r>
      <w:r w:rsidRPr="00AF23E4">
        <w:t xml:space="preserve"> material flow </w:t>
      </w:r>
      <w:r w:rsidR="00D0729D" w:rsidRPr="00AF23E4">
        <w:t xml:space="preserve">model </w:t>
      </w:r>
      <w:r w:rsidR="00957F42" w:rsidRPr="00AF23E4">
        <w:t>of</w:t>
      </w:r>
      <w:r w:rsidRPr="00AF23E4">
        <w:t xml:space="preserve"> the waste management system</w:t>
      </w:r>
      <w:r w:rsidR="00957F42" w:rsidRPr="00AF23E4">
        <w:t>s</w:t>
      </w:r>
      <w:r w:rsidRPr="00AF23E4">
        <w:t xml:space="preserve"> for aluminium cans, PET and glass bottles in Europe,</w:t>
      </w:r>
      <w:r w:rsidR="003E6E2A" w:rsidRPr="00AF23E4">
        <w:t xml:space="preserve"> the US,</w:t>
      </w:r>
      <w:r w:rsidRPr="00AF23E4">
        <w:t xml:space="preserve"> Japan, </w:t>
      </w:r>
      <w:proofErr w:type="gramStart"/>
      <w:r w:rsidR="003E6E2A" w:rsidRPr="00AF23E4">
        <w:t>Brazil</w:t>
      </w:r>
      <w:proofErr w:type="gramEnd"/>
      <w:r w:rsidRPr="00AF23E4">
        <w:t xml:space="preserve"> and China</w:t>
      </w:r>
      <w:r w:rsidR="00D0729D" w:rsidRPr="00AF23E4">
        <w:t xml:space="preserve">. </w:t>
      </w:r>
      <w:r w:rsidR="00A139B8" w:rsidRPr="00AF23E4">
        <w:t xml:space="preserve">The following provides </w:t>
      </w:r>
      <w:r w:rsidR="00C07F35" w:rsidRPr="00AF23E4">
        <w:t>a summary</w:t>
      </w:r>
      <w:r w:rsidR="00A139B8" w:rsidRPr="00AF23E4">
        <w:t xml:space="preserve"> of the methodolog</w:t>
      </w:r>
      <w:r w:rsidR="0006466E" w:rsidRPr="00AF23E4">
        <w:t>ical approach taken to build these models, and the sources of data used</w:t>
      </w:r>
      <w:r w:rsidR="003E6E2A" w:rsidRPr="00AF23E4">
        <w:t>.</w:t>
      </w:r>
      <w:bookmarkStart w:id="0" w:name="_Ref81997112"/>
    </w:p>
    <w:bookmarkEnd w:id="0"/>
    <w:p w14:paraId="7F4CBFAC" w14:textId="081A3BC1" w:rsidR="006F3365" w:rsidRPr="00AF23E4" w:rsidRDefault="00003751" w:rsidP="006F3365">
      <w:pPr>
        <w:pStyle w:val="Heading1"/>
      </w:pPr>
      <w:r w:rsidRPr="00AF23E4">
        <w:t xml:space="preserve">Beverage Container </w:t>
      </w:r>
      <w:r w:rsidR="00F96B99" w:rsidRPr="00AF23E4">
        <w:t xml:space="preserve">Waste Management </w:t>
      </w:r>
      <w:r w:rsidR="006F3365" w:rsidRPr="00AF23E4">
        <w:t>Material Flow Analysis</w:t>
      </w:r>
    </w:p>
    <w:p w14:paraId="37E3888E" w14:textId="77777777" w:rsidR="00C05E57" w:rsidRPr="00AF23E4" w:rsidRDefault="00C05E57" w:rsidP="00C05E57">
      <w:r w:rsidRPr="00AF23E4">
        <w:t xml:space="preserve">The developed model represents the mass flows of the waste management system of aluminium cans, </w:t>
      </w:r>
      <w:proofErr w:type="gramStart"/>
      <w:r w:rsidRPr="00AF23E4">
        <w:t>PET</w:t>
      </w:r>
      <w:proofErr w:type="gramEnd"/>
      <w:r w:rsidRPr="00AF23E4">
        <w:t xml:space="preserve"> and glass bottles in Europe</w:t>
      </w:r>
      <w:r w:rsidRPr="00AF23E4">
        <w:rPr>
          <w:rStyle w:val="FootnoteReference"/>
        </w:rPr>
        <w:footnoteReference w:id="2"/>
      </w:r>
      <w:r w:rsidRPr="00AF23E4">
        <w:t xml:space="preserve">, the USA, Japan, Brazil and China for 2019. The system boundary begins at the point in which the beverage container is placed on the market (PoM), to where it becomes waste and is collected, sorted, and sent for recycling or disposal. The losses associated with each process in the waste management of a beverage container following its use are included. Finally, of those recycled beverage containers the model differentiates between closed and open loop recycling to show the key recycling routes for each type of material in each country. </w:t>
      </w:r>
    </w:p>
    <w:p w14:paraId="588039EC" w14:textId="77777777" w:rsidR="00C05E57" w:rsidRPr="00AF23E4" w:rsidRDefault="00C05E57" w:rsidP="001C45DF">
      <w:pPr>
        <w:pStyle w:val="Heading2"/>
      </w:pPr>
      <w:bookmarkStart w:id="1" w:name="_Ref81997434"/>
      <w:r w:rsidRPr="00AF23E4">
        <w:t>Placed on the market (PoM) data</w:t>
      </w:r>
      <w:bookmarkEnd w:id="1"/>
    </w:p>
    <w:p w14:paraId="4A3AE90D" w14:textId="4BCB528B" w:rsidR="00C05E57" w:rsidRPr="00AF23E4" w:rsidRDefault="00C05E57" w:rsidP="00C05E57">
      <w:r w:rsidRPr="00AF23E4">
        <w:t>Data for packaging placed on the market (PoM) was provided through a variety of sources, with each of the respective national aluminium associations providing PoM data. This data was supplemented and checked against other confidential data made available to Eunomia by Ball Packaging</w:t>
      </w:r>
      <w:r w:rsidR="006C269D" w:rsidRPr="00AF23E4">
        <w:rPr>
          <w:rStyle w:val="FootnoteReference"/>
        </w:rPr>
        <w:footnoteReference w:id="3"/>
      </w:r>
      <w:r w:rsidRPr="00AF23E4">
        <w:t xml:space="preserve">. </w:t>
      </w:r>
      <w:r w:rsidR="003839AD" w:rsidRPr="00AF23E4">
        <w:t xml:space="preserve">PoM data for PET and glass beverage containers was gathered </w:t>
      </w:r>
      <w:r w:rsidR="00121472" w:rsidRPr="00AF23E4">
        <w:t xml:space="preserve">through an extensive literature review and guidance from regional and national associations. </w:t>
      </w:r>
    </w:p>
    <w:p w14:paraId="510B7B27" w14:textId="1477F03F" w:rsidR="00C05E57" w:rsidRPr="00AF23E4" w:rsidRDefault="00C05E57" w:rsidP="00C05E57">
      <w:pPr>
        <w:pStyle w:val="Caption"/>
      </w:pPr>
      <w:r w:rsidRPr="00AF23E4">
        <w:lastRenderedPageBreak/>
        <w:t xml:space="preserve">Table </w:t>
      </w:r>
      <w:r w:rsidR="005D5FDF">
        <w:fldChar w:fldCharType="begin"/>
      </w:r>
      <w:r w:rsidR="005D5FDF">
        <w:instrText xml:space="preserve"> STYLEREF 1 \s </w:instrText>
      </w:r>
      <w:r w:rsidR="005D5FDF">
        <w:fldChar w:fldCharType="separate"/>
      </w:r>
      <w:r w:rsidR="001E08D9" w:rsidRPr="00AF23E4">
        <w:rPr>
          <w:noProof/>
        </w:rPr>
        <w:t>2</w:t>
      </w:r>
      <w:r w:rsidR="005D5FDF">
        <w:rPr>
          <w:noProof/>
        </w:rPr>
        <w:fldChar w:fldCharType="end"/>
      </w:r>
      <w:r w:rsidRPr="00AF23E4">
        <w:noBreakHyphen/>
      </w:r>
      <w:r w:rsidR="005D5FDF">
        <w:fldChar w:fldCharType="begin"/>
      </w:r>
      <w:r w:rsidR="005D5FDF">
        <w:instrText xml:space="preserve"> SEQ Table \* ARABIC \s 1 </w:instrText>
      </w:r>
      <w:r w:rsidR="005D5FDF">
        <w:fldChar w:fldCharType="separate"/>
      </w:r>
      <w:r w:rsidR="001E08D9" w:rsidRPr="00AF23E4">
        <w:rPr>
          <w:noProof/>
        </w:rPr>
        <w:t>1</w:t>
      </w:r>
      <w:r w:rsidR="005D5FDF">
        <w:rPr>
          <w:noProof/>
        </w:rPr>
        <w:fldChar w:fldCharType="end"/>
      </w:r>
      <w:r w:rsidRPr="00AF23E4">
        <w:t>: Data sources of placed on the market data.</w:t>
      </w:r>
    </w:p>
    <w:tbl>
      <w:tblPr>
        <w:tblStyle w:val="Eunomia-Totals"/>
        <w:tblW w:w="9224" w:type="dxa"/>
        <w:tblLook w:val="04A0" w:firstRow="1" w:lastRow="0" w:firstColumn="1" w:lastColumn="0" w:noHBand="0" w:noVBand="1"/>
      </w:tblPr>
      <w:tblGrid>
        <w:gridCol w:w="1528"/>
        <w:gridCol w:w="1657"/>
        <w:gridCol w:w="1595"/>
        <w:gridCol w:w="4444"/>
      </w:tblGrid>
      <w:tr w:rsidR="00C05E57" w:rsidRPr="00AF23E4" w14:paraId="3F5B4B58" w14:textId="77777777" w:rsidTr="002958DD">
        <w:trPr>
          <w:cnfStyle w:val="100000000000" w:firstRow="1" w:lastRow="0" w:firstColumn="0" w:lastColumn="0" w:oddVBand="0" w:evenVBand="0" w:oddHBand="0"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1528" w:type="dxa"/>
          </w:tcPr>
          <w:p w14:paraId="4080626E" w14:textId="77777777" w:rsidR="00C05E57" w:rsidRPr="00AF23E4" w:rsidRDefault="00C05E57" w:rsidP="002958DD">
            <w:r w:rsidRPr="00AF23E4">
              <w:t>Region / Country</w:t>
            </w:r>
          </w:p>
        </w:tc>
        <w:tc>
          <w:tcPr>
            <w:tcW w:w="1657" w:type="dxa"/>
          </w:tcPr>
          <w:p w14:paraId="184CF8F2"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Material Type</w:t>
            </w:r>
          </w:p>
        </w:tc>
        <w:tc>
          <w:tcPr>
            <w:tcW w:w="1595" w:type="dxa"/>
          </w:tcPr>
          <w:p w14:paraId="5BF70D5E"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Value (kt)</w:t>
            </w:r>
          </w:p>
        </w:tc>
        <w:tc>
          <w:tcPr>
            <w:tcW w:w="4444" w:type="dxa"/>
          </w:tcPr>
          <w:p w14:paraId="2FC8A47E"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Data Source</w:t>
            </w:r>
          </w:p>
        </w:tc>
      </w:tr>
      <w:tr w:rsidR="00C05E57" w:rsidRPr="00AF23E4" w14:paraId="6E4D0FAF" w14:textId="77777777" w:rsidTr="002958DD">
        <w:trPr>
          <w:trHeight w:val="354"/>
        </w:trPr>
        <w:tc>
          <w:tcPr>
            <w:cnfStyle w:val="001000000000" w:firstRow="0" w:lastRow="0" w:firstColumn="1" w:lastColumn="0" w:oddVBand="0" w:evenVBand="0" w:oddHBand="0" w:evenHBand="0" w:firstRowFirstColumn="0" w:firstRowLastColumn="0" w:lastRowFirstColumn="0" w:lastRowLastColumn="0"/>
            <w:tcW w:w="1528" w:type="dxa"/>
            <w:vMerge w:val="restart"/>
          </w:tcPr>
          <w:p w14:paraId="2C663315" w14:textId="77777777" w:rsidR="00C05E57" w:rsidRPr="00AF23E4" w:rsidRDefault="00C05E57" w:rsidP="002958DD">
            <w:pPr>
              <w:spacing w:before="0" w:after="0"/>
            </w:pPr>
            <w:r w:rsidRPr="00AF23E4">
              <w:t>Europe</w:t>
            </w:r>
          </w:p>
        </w:tc>
        <w:tc>
          <w:tcPr>
            <w:tcW w:w="1657" w:type="dxa"/>
          </w:tcPr>
          <w:p w14:paraId="67C26460"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Aluminium</w:t>
            </w:r>
          </w:p>
        </w:tc>
        <w:tc>
          <w:tcPr>
            <w:tcW w:w="1595" w:type="dxa"/>
          </w:tcPr>
          <w:p w14:paraId="2791961C" w14:textId="68963029"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6</w:t>
            </w:r>
            <w:r w:rsidR="00C4333D" w:rsidRPr="00AF23E4">
              <w:t>44</w:t>
            </w:r>
          </w:p>
        </w:tc>
        <w:tc>
          <w:tcPr>
            <w:tcW w:w="4444" w:type="dxa"/>
          </w:tcPr>
          <w:p w14:paraId="173884D8" w14:textId="2BB8AF4A"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European Aluminiu</w:t>
            </w:r>
            <w:r w:rsidR="007046BA" w:rsidRPr="00AF23E4">
              <w:t>m</w:t>
            </w:r>
            <w:r w:rsidR="006E3605" w:rsidRPr="00AF23E4">
              <w:rPr>
                <w:rStyle w:val="FootnoteReference"/>
              </w:rPr>
              <w:footnoteReference w:id="4"/>
            </w:r>
          </w:p>
        </w:tc>
      </w:tr>
      <w:tr w:rsidR="00C05E57" w:rsidRPr="00AF23E4" w14:paraId="4B77E79F"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tcPr>
          <w:p w14:paraId="1D5F95C7" w14:textId="77777777" w:rsidR="00C05E57" w:rsidRPr="00AF23E4" w:rsidRDefault="00C05E57" w:rsidP="002958DD">
            <w:pPr>
              <w:spacing w:before="0" w:after="0"/>
            </w:pPr>
          </w:p>
        </w:tc>
        <w:tc>
          <w:tcPr>
            <w:tcW w:w="1657" w:type="dxa"/>
          </w:tcPr>
          <w:p w14:paraId="7701A7AA"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PET</w:t>
            </w:r>
          </w:p>
        </w:tc>
        <w:tc>
          <w:tcPr>
            <w:tcW w:w="1595" w:type="dxa"/>
          </w:tcPr>
          <w:p w14:paraId="158A23B0"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2,589</w:t>
            </w:r>
          </w:p>
        </w:tc>
        <w:tc>
          <w:tcPr>
            <w:tcW w:w="4444" w:type="dxa"/>
          </w:tcPr>
          <w:p w14:paraId="6F87E563"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 xml:space="preserve">EFBW, </w:t>
            </w:r>
            <w:proofErr w:type="spellStart"/>
            <w:r w:rsidRPr="00AF23E4">
              <w:t>Petcore</w:t>
            </w:r>
            <w:proofErr w:type="spellEnd"/>
            <w:r w:rsidRPr="00AF23E4">
              <w:t xml:space="preserve"> &amp; PRE</w:t>
            </w:r>
            <w:r w:rsidRPr="00AF23E4">
              <w:rPr>
                <w:rStyle w:val="FootnoteReference"/>
              </w:rPr>
              <w:footnoteReference w:id="5"/>
            </w:r>
            <w:r w:rsidRPr="00AF23E4">
              <w:t xml:space="preserve"> &amp; Eunomia assumptions </w:t>
            </w:r>
          </w:p>
        </w:tc>
      </w:tr>
      <w:tr w:rsidR="00C05E57" w:rsidRPr="00AF23E4" w14:paraId="280DD2F1"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tcPr>
          <w:p w14:paraId="51FDA4E3" w14:textId="77777777" w:rsidR="00C05E57" w:rsidRPr="00AF23E4" w:rsidRDefault="00C05E57" w:rsidP="002958DD">
            <w:pPr>
              <w:spacing w:before="0" w:after="0"/>
            </w:pPr>
          </w:p>
        </w:tc>
        <w:tc>
          <w:tcPr>
            <w:tcW w:w="1657" w:type="dxa"/>
          </w:tcPr>
          <w:p w14:paraId="0AAB8869"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Glass</w:t>
            </w:r>
          </w:p>
        </w:tc>
        <w:tc>
          <w:tcPr>
            <w:tcW w:w="1595" w:type="dxa"/>
          </w:tcPr>
          <w:p w14:paraId="719CE5DB"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17,330</w:t>
            </w:r>
          </w:p>
        </w:tc>
        <w:tc>
          <w:tcPr>
            <w:tcW w:w="4444" w:type="dxa"/>
          </w:tcPr>
          <w:p w14:paraId="2B2AE7DD"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FEVE</w:t>
            </w:r>
            <w:r w:rsidRPr="00AF23E4">
              <w:rPr>
                <w:rStyle w:val="FootnoteReference"/>
              </w:rPr>
              <w:footnoteReference w:id="6"/>
            </w:r>
          </w:p>
        </w:tc>
      </w:tr>
      <w:tr w:rsidR="00C05E57" w:rsidRPr="00AF23E4" w14:paraId="0E7A45D7" w14:textId="77777777" w:rsidTr="002958DD">
        <w:trPr>
          <w:trHeight w:val="393"/>
        </w:trPr>
        <w:tc>
          <w:tcPr>
            <w:cnfStyle w:val="001000000000" w:firstRow="0" w:lastRow="0" w:firstColumn="1" w:lastColumn="0" w:oddVBand="0" w:evenVBand="0" w:oddHBand="0" w:evenHBand="0" w:firstRowFirstColumn="0" w:firstRowLastColumn="0" w:lastRowFirstColumn="0" w:lastRowLastColumn="0"/>
            <w:tcW w:w="1528" w:type="dxa"/>
            <w:vMerge w:val="restart"/>
          </w:tcPr>
          <w:p w14:paraId="3562303B" w14:textId="77777777" w:rsidR="00C05E57" w:rsidRPr="00AF23E4" w:rsidRDefault="00C05E57" w:rsidP="002958DD">
            <w:pPr>
              <w:spacing w:before="0" w:after="0"/>
            </w:pPr>
            <w:r w:rsidRPr="00AF23E4">
              <w:t>USA</w:t>
            </w:r>
          </w:p>
        </w:tc>
        <w:tc>
          <w:tcPr>
            <w:tcW w:w="1657" w:type="dxa"/>
          </w:tcPr>
          <w:p w14:paraId="12E1289E"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Aluminium</w:t>
            </w:r>
          </w:p>
        </w:tc>
        <w:tc>
          <w:tcPr>
            <w:tcW w:w="1595" w:type="dxa"/>
          </w:tcPr>
          <w:p w14:paraId="62DFFF6D" w14:textId="64C28CDA" w:rsidR="00C05E57" w:rsidRPr="00AF23E4" w:rsidRDefault="00C4333D" w:rsidP="002958DD">
            <w:pPr>
              <w:spacing w:before="0" w:after="0"/>
              <w:cnfStyle w:val="000000000000" w:firstRow="0" w:lastRow="0" w:firstColumn="0" w:lastColumn="0" w:oddVBand="0" w:evenVBand="0" w:oddHBand="0" w:evenHBand="0" w:firstRowFirstColumn="0" w:firstRowLastColumn="0" w:lastRowFirstColumn="0" w:lastRowLastColumn="0"/>
            </w:pPr>
            <w:r w:rsidRPr="00AF23E4">
              <w:t>1,244</w:t>
            </w:r>
          </w:p>
        </w:tc>
        <w:tc>
          <w:tcPr>
            <w:tcW w:w="4444" w:type="dxa"/>
          </w:tcPr>
          <w:p w14:paraId="4656E41F" w14:textId="54529B47" w:rsidR="00C05E57" w:rsidRPr="00AF23E4" w:rsidRDefault="00C97244" w:rsidP="002958DD">
            <w:pPr>
              <w:spacing w:before="0" w:after="0"/>
              <w:cnfStyle w:val="000000000000" w:firstRow="0" w:lastRow="0" w:firstColumn="0" w:lastColumn="0" w:oddVBand="0" w:evenVBand="0" w:oddHBand="0" w:evenHBand="0" w:firstRowFirstColumn="0" w:firstRowLastColumn="0" w:lastRowFirstColumn="0" w:lastRowLastColumn="0"/>
            </w:pPr>
            <w:proofErr w:type="spellStart"/>
            <w:r w:rsidRPr="00AF23E4">
              <w:t>Aluminum</w:t>
            </w:r>
            <w:proofErr w:type="spellEnd"/>
            <w:r w:rsidRPr="00AF23E4">
              <w:t xml:space="preserve"> Association and Can Manufacturers Institute</w:t>
            </w:r>
            <w:bookmarkStart w:id="2" w:name="_Ref95728325"/>
            <w:r w:rsidRPr="00AF23E4">
              <w:rPr>
                <w:rStyle w:val="FootnoteReference"/>
              </w:rPr>
              <w:footnoteReference w:id="7"/>
            </w:r>
            <w:bookmarkEnd w:id="2"/>
          </w:p>
        </w:tc>
      </w:tr>
      <w:tr w:rsidR="00EE2F8C" w:rsidRPr="00AF23E4" w14:paraId="2099B9A3" w14:textId="77777777" w:rsidTr="005340FA">
        <w:trPr>
          <w:trHeight w:val="393"/>
        </w:trPr>
        <w:tc>
          <w:tcPr>
            <w:cnfStyle w:val="001000000000" w:firstRow="0" w:lastRow="0" w:firstColumn="1" w:lastColumn="0" w:oddVBand="0" w:evenVBand="0" w:oddHBand="0" w:evenHBand="0" w:firstRowFirstColumn="0" w:firstRowLastColumn="0" w:lastRowFirstColumn="0" w:lastRowLastColumn="0"/>
            <w:tcW w:w="1528" w:type="dxa"/>
            <w:vMerge/>
          </w:tcPr>
          <w:p w14:paraId="03D61503" w14:textId="77777777" w:rsidR="00EE2F8C" w:rsidRPr="00AF23E4" w:rsidRDefault="00EE2F8C" w:rsidP="002958DD">
            <w:pPr>
              <w:spacing w:before="0" w:after="0"/>
            </w:pPr>
          </w:p>
        </w:tc>
        <w:tc>
          <w:tcPr>
            <w:tcW w:w="1657" w:type="dxa"/>
          </w:tcPr>
          <w:p w14:paraId="46F0C7A4" w14:textId="77777777" w:rsidR="00EE2F8C" w:rsidRPr="00AF23E4" w:rsidRDefault="00EE2F8C" w:rsidP="002958DD">
            <w:pPr>
              <w:spacing w:before="0" w:after="0"/>
              <w:cnfStyle w:val="000000000000" w:firstRow="0" w:lastRow="0" w:firstColumn="0" w:lastColumn="0" w:oddVBand="0" w:evenVBand="0" w:oddHBand="0" w:evenHBand="0" w:firstRowFirstColumn="0" w:firstRowLastColumn="0" w:lastRowFirstColumn="0" w:lastRowLastColumn="0"/>
            </w:pPr>
            <w:r w:rsidRPr="00AF23E4">
              <w:t>PET</w:t>
            </w:r>
          </w:p>
        </w:tc>
        <w:tc>
          <w:tcPr>
            <w:tcW w:w="1595" w:type="dxa"/>
          </w:tcPr>
          <w:p w14:paraId="1E27B738" w14:textId="77777777" w:rsidR="00EE2F8C" w:rsidRPr="00AF23E4" w:rsidRDefault="00EE2F8C" w:rsidP="002958DD">
            <w:pPr>
              <w:spacing w:before="0" w:after="0"/>
              <w:cnfStyle w:val="000000000000" w:firstRow="0" w:lastRow="0" w:firstColumn="0" w:lastColumn="0" w:oddVBand="0" w:evenVBand="0" w:oddHBand="0" w:evenHBand="0" w:firstRowFirstColumn="0" w:firstRowLastColumn="0" w:lastRowFirstColumn="0" w:lastRowLastColumn="0"/>
            </w:pPr>
            <w:r w:rsidRPr="00AF23E4">
              <w:t>3,031</w:t>
            </w:r>
          </w:p>
        </w:tc>
        <w:tc>
          <w:tcPr>
            <w:tcW w:w="4444" w:type="dxa"/>
            <w:vMerge w:val="restart"/>
          </w:tcPr>
          <w:p w14:paraId="74ACB49C" w14:textId="4BD382FB" w:rsidR="00EE2F8C" w:rsidRPr="00AF23E4" w:rsidRDefault="00EE2F8C" w:rsidP="00EE2F8C">
            <w:pPr>
              <w:spacing w:before="0" w:after="0"/>
              <w:cnfStyle w:val="000000000000" w:firstRow="0" w:lastRow="0" w:firstColumn="0" w:lastColumn="0" w:oddVBand="0" w:evenVBand="0" w:oddHBand="0" w:evenHBand="0" w:firstRowFirstColumn="0" w:firstRowLastColumn="0" w:lastRowFirstColumn="0" w:lastRowLastColumn="0"/>
            </w:pPr>
            <w:r w:rsidRPr="00AF23E4">
              <w:t>Eunomia</w:t>
            </w:r>
            <w:r w:rsidR="00CF7066" w:rsidRPr="00AF23E4">
              <w:rPr>
                <w:rStyle w:val="FootnoteReference"/>
              </w:rPr>
              <w:footnoteReference w:id="8"/>
            </w:r>
          </w:p>
        </w:tc>
      </w:tr>
      <w:tr w:rsidR="00EE2F8C" w:rsidRPr="00AF23E4" w14:paraId="43415BC8" w14:textId="77777777" w:rsidTr="002958DD">
        <w:trPr>
          <w:trHeight w:val="393"/>
        </w:trPr>
        <w:tc>
          <w:tcPr>
            <w:cnfStyle w:val="001000000000" w:firstRow="0" w:lastRow="0" w:firstColumn="1" w:lastColumn="0" w:oddVBand="0" w:evenVBand="0" w:oddHBand="0" w:evenHBand="0" w:firstRowFirstColumn="0" w:firstRowLastColumn="0" w:lastRowFirstColumn="0" w:lastRowLastColumn="0"/>
            <w:tcW w:w="1528" w:type="dxa"/>
            <w:vMerge/>
          </w:tcPr>
          <w:p w14:paraId="44736A85" w14:textId="77777777" w:rsidR="00EE2F8C" w:rsidRPr="00AF23E4" w:rsidRDefault="00EE2F8C" w:rsidP="002958DD">
            <w:pPr>
              <w:spacing w:before="0" w:after="0"/>
            </w:pPr>
          </w:p>
        </w:tc>
        <w:tc>
          <w:tcPr>
            <w:tcW w:w="1657" w:type="dxa"/>
          </w:tcPr>
          <w:p w14:paraId="1ACA5506" w14:textId="77777777" w:rsidR="00EE2F8C" w:rsidRPr="00AF23E4" w:rsidRDefault="00EE2F8C" w:rsidP="002958DD">
            <w:pPr>
              <w:spacing w:before="0" w:after="0"/>
              <w:cnfStyle w:val="000000000000" w:firstRow="0" w:lastRow="0" w:firstColumn="0" w:lastColumn="0" w:oddVBand="0" w:evenVBand="0" w:oddHBand="0" w:evenHBand="0" w:firstRowFirstColumn="0" w:firstRowLastColumn="0" w:lastRowFirstColumn="0" w:lastRowLastColumn="0"/>
            </w:pPr>
            <w:r w:rsidRPr="00AF23E4">
              <w:t>Glass</w:t>
            </w:r>
          </w:p>
        </w:tc>
        <w:tc>
          <w:tcPr>
            <w:tcW w:w="1595" w:type="dxa"/>
          </w:tcPr>
          <w:p w14:paraId="5F2C7F73" w14:textId="77777777" w:rsidR="00EE2F8C" w:rsidRPr="00AF23E4" w:rsidRDefault="00EE2F8C" w:rsidP="002958DD">
            <w:pPr>
              <w:spacing w:before="0" w:after="0"/>
              <w:cnfStyle w:val="000000000000" w:firstRow="0" w:lastRow="0" w:firstColumn="0" w:lastColumn="0" w:oddVBand="0" w:evenVBand="0" w:oddHBand="0" w:evenHBand="0" w:firstRowFirstColumn="0" w:firstRowLastColumn="0" w:lastRowFirstColumn="0" w:lastRowLastColumn="0"/>
            </w:pPr>
            <w:r w:rsidRPr="00AF23E4">
              <w:t>9,085</w:t>
            </w:r>
          </w:p>
        </w:tc>
        <w:tc>
          <w:tcPr>
            <w:tcW w:w="4444" w:type="dxa"/>
            <w:vMerge/>
          </w:tcPr>
          <w:p w14:paraId="4922486D" w14:textId="444A95AC" w:rsidR="00EE2F8C" w:rsidRPr="00AF23E4" w:rsidRDefault="00EE2F8C" w:rsidP="002958DD">
            <w:pPr>
              <w:spacing w:before="0" w:after="0"/>
              <w:cnfStyle w:val="000000000000" w:firstRow="0" w:lastRow="0" w:firstColumn="0" w:lastColumn="0" w:oddVBand="0" w:evenVBand="0" w:oddHBand="0" w:evenHBand="0" w:firstRowFirstColumn="0" w:firstRowLastColumn="0" w:lastRowFirstColumn="0" w:lastRowLastColumn="0"/>
            </w:pPr>
          </w:p>
        </w:tc>
      </w:tr>
      <w:tr w:rsidR="00C05E57" w:rsidRPr="00AF23E4" w14:paraId="625B5044" w14:textId="77777777" w:rsidTr="002958DD">
        <w:trPr>
          <w:trHeight w:val="709"/>
        </w:trPr>
        <w:tc>
          <w:tcPr>
            <w:cnfStyle w:val="001000000000" w:firstRow="0" w:lastRow="0" w:firstColumn="1" w:lastColumn="0" w:oddVBand="0" w:evenVBand="0" w:oddHBand="0" w:evenHBand="0" w:firstRowFirstColumn="0" w:firstRowLastColumn="0" w:lastRowFirstColumn="0" w:lastRowLastColumn="0"/>
            <w:tcW w:w="1528" w:type="dxa"/>
            <w:vMerge w:val="restart"/>
          </w:tcPr>
          <w:p w14:paraId="3D6AEDDC" w14:textId="77777777" w:rsidR="00C05E57" w:rsidRPr="00AF23E4" w:rsidRDefault="00C05E57" w:rsidP="002958DD">
            <w:pPr>
              <w:spacing w:before="0" w:after="0"/>
            </w:pPr>
            <w:r w:rsidRPr="00AF23E4">
              <w:t>Japan</w:t>
            </w:r>
          </w:p>
        </w:tc>
        <w:tc>
          <w:tcPr>
            <w:tcW w:w="1657" w:type="dxa"/>
          </w:tcPr>
          <w:p w14:paraId="4A33E178"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Aluminium</w:t>
            </w:r>
          </w:p>
        </w:tc>
        <w:tc>
          <w:tcPr>
            <w:tcW w:w="1595" w:type="dxa"/>
          </w:tcPr>
          <w:p w14:paraId="435D9C8C"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330</w:t>
            </w:r>
          </w:p>
        </w:tc>
        <w:tc>
          <w:tcPr>
            <w:tcW w:w="4444" w:type="dxa"/>
          </w:tcPr>
          <w:p w14:paraId="794B8C89" w14:textId="69231D34"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Japanese Aluminium Can Recycling Association</w:t>
            </w:r>
            <w:r w:rsidRPr="00AF23E4">
              <w:rPr>
                <w:rStyle w:val="FootnoteReference"/>
              </w:rPr>
              <w:footnoteReference w:id="9"/>
            </w:r>
          </w:p>
        </w:tc>
      </w:tr>
      <w:tr w:rsidR="00C05E57" w:rsidRPr="00AF23E4" w14:paraId="5491A221"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tcPr>
          <w:p w14:paraId="64231B24" w14:textId="77777777" w:rsidR="00C05E57" w:rsidRPr="00AF23E4" w:rsidRDefault="00C05E57" w:rsidP="002958DD">
            <w:pPr>
              <w:spacing w:before="0" w:after="0"/>
            </w:pPr>
          </w:p>
        </w:tc>
        <w:tc>
          <w:tcPr>
            <w:tcW w:w="1657" w:type="dxa"/>
          </w:tcPr>
          <w:p w14:paraId="31D51722"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PET</w:t>
            </w:r>
          </w:p>
        </w:tc>
        <w:tc>
          <w:tcPr>
            <w:tcW w:w="1595" w:type="dxa"/>
          </w:tcPr>
          <w:p w14:paraId="56E55223"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539</w:t>
            </w:r>
          </w:p>
        </w:tc>
        <w:tc>
          <w:tcPr>
            <w:tcW w:w="4444" w:type="dxa"/>
          </w:tcPr>
          <w:p w14:paraId="368CD9F0" w14:textId="16A27FFC"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The Council for PET Bottle Recycling</w:t>
            </w:r>
            <w:r w:rsidRPr="00AF23E4">
              <w:rPr>
                <w:rStyle w:val="FootnoteReference"/>
              </w:rPr>
              <w:footnoteReference w:id="10"/>
            </w:r>
          </w:p>
        </w:tc>
      </w:tr>
      <w:tr w:rsidR="00C05E57" w:rsidRPr="00AF23E4" w14:paraId="7762A03D"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tcPr>
          <w:p w14:paraId="7205B2F0" w14:textId="77777777" w:rsidR="00C05E57" w:rsidRPr="00AF23E4" w:rsidRDefault="00C05E57" w:rsidP="002958DD">
            <w:pPr>
              <w:spacing w:before="0" w:after="0"/>
            </w:pPr>
          </w:p>
        </w:tc>
        <w:tc>
          <w:tcPr>
            <w:tcW w:w="1657" w:type="dxa"/>
          </w:tcPr>
          <w:p w14:paraId="5FAE910E"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Glass</w:t>
            </w:r>
          </w:p>
        </w:tc>
        <w:tc>
          <w:tcPr>
            <w:tcW w:w="1595" w:type="dxa"/>
          </w:tcPr>
          <w:p w14:paraId="46FFA745"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1,267</w:t>
            </w:r>
          </w:p>
        </w:tc>
        <w:tc>
          <w:tcPr>
            <w:tcW w:w="4444" w:type="dxa"/>
          </w:tcPr>
          <w:p w14:paraId="58C0CC18" w14:textId="7314928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Glass Bottle 3R Promotion Association</w:t>
            </w:r>
            <w:r w:rsidRPr="00AF23E4">
              <w:rPr>
                <w:rStyle w:val="FootnoteReference"/>
              </w:rPr>
              <w:footnoteReference w:id="11"/>
            </w:r>
          </w:p>
        </w:tc>
      </w:tr>
      <w:tr w:rsidR="00C05E57" w:rsidRPr="00AF23E4" w14:paraId="3D5B41B8"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val="restart"/>
          </w:tcPr>
          <w:p w14:paraId="1DAA371A" w14:textId="77777777" w:rsidR="00C05E57" w:rsidRPr="00AF23E4" w:rsidRDefault="00C05E57" w:rsidP="002958DD">
            <w:pPr>
              <w:spacing w:before="0" w:after="0"/>
            </w:pPr>
            <w:r w:rsidRPr="00AF23E4">
              <w:t>Brazil</w:t>
            </w:r>
          </w:p>
        </w:tc>
        <w:tc>
          <w:tcPr>
            <w:tcW w:w="1657" w:type="dxa"/>
          </w:tcPr>
          <w:p w14:paraId="2610AC80"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Aluminium</w:t>
            </w:r>
          </w:p>
        </w:tc>
        <w:tc>
          <w:tcPr>
            <w:tcW w:w="1595" w:type="dxa"/>
          </w:tcPr>
          <w:p w14:paraId="68B66BFC"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375</w:t>
            </w:r>
          </w:p>
        </w:tc>
        <w:tc>
          <w:tcPr>
            <w:tcW w:w="4444" w:type="dxa"/>
          </w:tcPr>
          <w:p w14:paraId="3959994F" w14:textId="774636C8"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Brazilian Aluminium Association (ABAL)</w:t>
            </w:r>
            <w:r w:rsidR="000147CC" w:rsidRPr="00AF23E4">
              <w:rPr>
                <w:vertAlign w:val="superscript"/>
              </w:rPr>
              <w:t>2</w:t>
            </w:r>
          </w:p>
        </w:tc>
      </w:tr>
      <w:tr w:rsidR="00C05E57" w:rsidRPr="00AF23E4" w14:paraId="6FE638DA"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tcPr>
          <w:p w14:paraId="70F4F766" w14:textId="77777777" w:rsidR="00C05E57" w:rsidRPr="00AF23E4" w:rsidRDefault="00C05E57" w:rsidP="002958DD">
            <w:pPr>
              <w:spacing w:before="0" w:after="0"/>
            </w:pPr>
          </w:p>
        </w:tc>
        <w:tc>
          <w:tcPr>
            <w:tcW w:w="1657" w:type="dxa"/>
          </w:tcPr>
          <w:p w14:paraId="00C3EFCE"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PET</w:t>
            </w:r>
          </w:p>
        </w:tc>
        <w:tc>
          <w:tcPr>
            <w:tcW w:w="1595" w:type="dxa"/>
          </w:tcPr>
          <w:p w14:paraId="77D36D1A" w14:textId="5BB08CAB" w:rsidR="00C05E57" w:rsidRPr="00AF23E4" w:rsidRDefault="00E87C7C" w:rsidP="002958DD">
            <w:pPr>
              <w:spacing w:before="0" w:after="0"/>
              <w:cnfStyle w:val="000000000000" w:firstRow="0" w:lastRow="0" w:firstColumn="0" w:lastColumn="0" w:oddVBand="0" w:evenVBand="0" w:oddHBand="0" w:evenHBand="0" w:firstRowFirstColumn="0" w:firstRowLastColumn="0" w:lastRowFirstColumn="0" w:lastRowLastColumn="0"/>
            </w:pPr>
            <w:r w:rsidRPr="00AF23E4">
              <w:t>515</w:t>
            </w:r>
          </w:p>
        </w:tc>
        <w:tc>
          <w:tcPr>
            <w:tcW w:w="4444" w:type="dxa"/>
            <w:vMerge w:val="restart"/>
          </w:tcPr>
          <w:p w14:paraId="050D724A"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National Information System on Solid Waste Management (SINIR)</w:t>
            </w:r>
            <w:r w:rsidRPr="00AF23E4">
              <w:rPr>
                <w:rStyle w:val="FootnoteReference"/>
              </w:rPr>
              <w:footnoteReference w:id="12"/>
            </w:r>
          </w:p>
        </w:tc>
      </w:tr>
      <w:tr w:rsidR="00C05E57" w:rsidRPr="00AF23E4" w14:paraId="634CB6DB"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tcPr>
          <w:p w14:paraId="6E1FF755" w14:textId="77777777" w:rsidR="00C05E57" w:rsidRPr="00AF23E4" w:rsidRDefault="00C05E57" w:rsidP="002958DD">
            <w:pPr>
              <w:spacing w:before="0" w:after="0"/>
            </w:pPr>
          </w:p>
        </w:tc>
        <w:tc>
          <w:tcPr>
            <w:tcW w:w="1657" w:type="dxa"/>
          </w:tcPr>
          <w:p w14:paraId="5B6066B2"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Glass</w:t>
            </w:r>
          </w:p>
        </w:tc>
        <w:tc>
          <w:tcPr>
            <w:tcW w:w="1595" w:type="dxa"/>
          </w:tcPr>
          <w:p w14:paraId="1C50AD62" w14:textId="1F115942"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1,</w:t>
            </w:r>
            <w:r w:rsidR="00E87C7C" w:rsidRPr="00AF23E4">
              <w:t>041</w:t>
            </w:r>
          </w:p>
        </w:tc>
        <w:tc>
          <w:tcPr>
            <w:tcW w:w="4444" w:type="dxa"/>
            <w:vMerge/>
          </w:tcPr>
          <w:p w14:paraId="5E183F99"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p>
        </w:tc>
      </w:tr>
      <w:tr w:rsidR="00C05E57" w:rsidRPr="00AF23E4" w14:paraId="4C346D75"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val="restart"/>
          </w:tcPr>
          <w:p w14:paraId="110FED71" w14:textId="77777777" w:rsidR="00C05E57" w:rsidRPr="00AF23E4" w:rsidRDefault="00C05E57" w:rsidP="002958DD">
            <w:pPr>
              <w:spacing w:before="0" w:after="0"/>
            </w:pPr>
            <w:r w:rsidRPr="00AF23E4">
              <w:t>China</w:t>
            </w:r>
          </w:p>
        </w:tc>
        <w:tc>
          <w:tcPr>
            <w:tcW w:w="1657" w:type="dxa"/>
          </w:tcPr>
          <w:p w14:paraId="2B14C186"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Aluminium</w:t>
            </w:r>
          </w:p>
        </w:tc>
        <w:tc>
          <w:tcPr>
            <w:tcW w:w="1595" w:type="dxa"/>
          </w:tcPr>
          <w:p w14:paraId="5650F15E"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1,150</w:t>
            </w:r>
          </w:p>
        </w:tc>
        <w:tc>
          <w:tcPr>
            <w:tcW w:w="4444" w:type="dxa"/>
          </w:tcPr>
          <w:p w14:paraId="7A488C1F" w14:textId="779A0A58"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Antiake</w:t>
            </w:r>
            <w:r w:rsidR="000147CC" w:rsidRPr="00AF23E4">
              <w:rPr>
                <w:vertAlign w:val="superscript"/>
              </w:rPr>
              <w:t>2</w:t>
            </w:r>
          </w:p>
        </w:tc>
      </w:tr>
      <w:tr w:rsidR="00C05E57" w:rsidRPr="00AF23E4" w14:paraId="2C456C28"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tcPr>
          <w:p w14:paraId="1258066F" w14:textId="77777777" w:rsidR="00C05E57" w:rsidRPr="00AF23E4" w:rsidRDefault="00C05E57" w:rsidP="002958DD">
            <w:pPr>
              <w:spacing w:before="0" w:after="0"/>
            </w:pPr>
          </w:p>
        </w:tc>
        <w:tc>
          <w:tcPr>
            <w:tcW w:w="1657" w:type="dxa"/>
          </w:tcPr>
          <w:p w14:paraId="55FB9D80"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PET</w:t>
            </w:r>
          </w:p>
        </w:tc>
        <w:tc>
          <w:tcPr>
            <w:tcW w:w="1595" w:type="dxa"/>
          </w:tcPr>
          <w:p w14:paraId="30D614C9"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4,796</w:t>
            </w:r>
          </w:p>
        </w:tc>
        <w:tc>
          <w:tcPr>
            <w:tcW w:w="4444" w:type="dxa"/>
            <w:vMerge w:val="restart"/>
          </w:tcPr>
          <w:p w14:paraId="1FE84255"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Eunomia assumption</w:t>
            </w:r>
          </w:p>
        </w:tc>
      </w:tr>
      <w:tr w:rsidR="00C05E57" w:rsidRPr="00AF23E4" w14:paraId="7070EEE5" w14:textId="77777777" w:rsidTr="002958DD">
        <w:trPr>
          <w:trHeight w:val="373"/>
        </w:trPr>
        <w:tc>
          <w:tcPr>
            <w:cnfStyle w:val="001000000000" w:firstRow="0" w:lastRow="0" w:firstColumn="1" w:lastColumn="0" w:oddVBand="0" w:evenVBand="0" w:oddHBand="0" w:evenHBand="0" w:firstRowFirstColumn="0" w:firstRowLastColumn="0" w:lastRowFirstColumn="0" w:lastRowLastColumn="0"/>
            <w:tcW w:w="1528" w:type="dxa"/>
            <w:vMerge/>
          </w:tcPr>
          <w:p w14:paraId="7E52F3A0" w14:textId="77777777" w:rsidR="00C05E57" w:rsidRPr="00AF23E4" w:rsidRDefault="00C05E57" w:rsidP="002958DD">
            <w:pPr>
              <w:spacing w:before="0" w:after="0"/>
            </w:pPr>
          </w:p>
        </w:tc>
        <w:tc>
          <w:tcPr>
            <w:tcW w:w="1657" w:type="dxa"/>
          </w:tcPr>
          <w:p w14:paraId="4F592AB3"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Glass</w:t>
            </w:r>
          </w:p>
        </w:tc>
        <w:tc>
          <w:tcPr>
            <w:tcW w:w="1595" w:type="dxa"/>
          </w:tcPr>
          <w:p w14:paraId="2AC7EC52"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r w:rsidRPr="00AF23E4">
              <w:t>36,386</w:t>
            </w:r>
          </w:p>
        </w:tc>
        <w:tc>
          <w:tcPr>
            <w:tcW w:w="4444" w:type="dxa"/>
            <w:vMerge/>
          </w:tcPr>
          <w:p w14:paraId="52C1D0B7" w14:textId="77777777" w:rsidR="00C05E57" w:rsidRPr="00AF23E4" w:rsidRDefault="00C05E57" w:rsidP="002958DD">
            <w:pPr>
              <w:spacing w:before="0" w:after="0"/>
              <w:cnfStyle w:val="000000000000" w:firstRow="0" w:lastRow="0" w:firstColumn="0" w:lastColumn="0" w:oddVBand="0" w:evenVBand="0" w:oddHBand="0" w:evenHBand="0" w:firstRowFirstColumn="0" w:firstRowLastColumn="0" w:lastRowFirstColumn="0" w:lastRowLastColumn="0"/>
            </w:pPr>
          </w:p>
        </w:tc>
      </w:tr>
    </w:tbl>
    <w:p w14:paraId="05B42CF5" w14:textId="77777777" w:rsidR="001C45DF" w:rsidRPr="00AF23E4" w:rsidRDefault="001C45DF">
      <w:pPr>
        <w:spacing w:before="0" w:after="0"/>
        <w:rPr>
          <w:rFonts w:ascii="Arial" w:hAnsi="Arial"/>
          <w:b/>
          <w:bCs/>
          <w:iCs/>
          <w:color w:val="00A79D" w:themeColor="accent3"/>
          <w:sz w:val="30"/>
          <w:szCs w:val="28"/>
        </w:rPr>
      </w:pPr>
      <w:r w:rsidRPr="00AF23E4">
        <w:br w:type="page"/>
      </w:r>
    </w:p>
    <w:p w14:paraId="3789AF0B" w14:textId="42C47473" w:rsidR="00C05E57" w:rsidRPr="00AF23E4" w:rsidRDefault="00C05E57" w:rsidP="00C05E57">
      <w:pPr>
        <w:pStyle w:val="Heading2"/>
      </w:pPr>
      <w:r w:rsidRPr="00AF23E4">
        <w:lastRenderedPageBreak/>
        <w:t>Collection data</w:t>
      </w:r>
    </w:p>
    <w:p w14:paraId="380D098B" w14:textId="2484C510" w:rsidR="00C05E57" w:rsidRPr="00AF23E4" w:rsidRDefault="00C05E57" w:rsidP="00C05E57">
      <w:r w:rsidRPr="00AF23E4">
        <w:t xml:space="preserve">Following use, the containers are collected for recycling or disposal. In certain European countries and US states, deposit return schemes (DRS) are in operation. Where a DRS is in operation, Reloop’s </w:t>
      </w:r>
      <w:r w:rsidRPr="00AF23E4">
        <w:rPr>
          <w:i/>
          <w:iCs/>
        </w:rPr>
        <w:t>Global Deposit Book 2020</w:t>
      </w:r>
      <w:r w:rsidRPr="00AF23E4">
        <w:t xml:space="preserve"> provided information on the volume and product type of containers in-scope and the return rates by material type</w:t>
      </w:r>
      <w:r w:rsidRPr="00AF23E4">
        <w:rPr>
          <w:rStyle w:val="FootnoteReference"/>
        </w:rPr>
        <w:footnoteReference w:id="13"/>
      </w:r>
      <w:r w:rsidRPr="00AF23E4">
        <w:t xml:space="preserve">. Based on this information and the PoM data, the percentage of containers </w:t>
      </w:r>
      <w:r w:rsidR="003470FD" w:rsidRPr="00AF23E4">
        <w:t>in-scope for</w:t>
      </w:r>
      <w:r w:rsidRPr="00AF23E4">
        <w:t xml:space="preserve"> each countr</w:t>
      </w:r>
      <w:r w:rsidR="003470FD" w:rsidRPr="00AF23E4">
        <w:t>y</w:t>
      </w:r>
      <w:r w:rsidRPr="00AF23E4">
        <w:t xml:space="preserve"> DRS was calculated. The return rates were then applied to calculate the tonnages collected via DRS. Those containers not in-scope were collected via separate collections. </w:t>
      </w:r>
      <w:r w:rsidRPr="00AF23E4">
        <w:fldChar w:fldCharType="begin"/>
      </w:r>
      <w:r w:rsidRPr="00AF23E4">
        <w:instrText xml:space="preserve"> REF _Ref83812571 \h </w:instrText>
      </w:r>
      <w:r w:rsidR="00AF23E4">
        <w:instrText xml:space="preserve"> \* MERGEFORMAT </w:instrText>
      </w:r>
      <w:r w:rsidRPr="00AF23E4">
        <w:fldChar w:fldCharType="separate"/>
      </w:r>
      <w:r w:rsidR="001E08D9" w:rsidRPr="00AF23E4">
        <w:t xml:space="preserve">Table </w:t>
      </w:r>
      <w:r w:rsidR="001E08D9" w:rsidRPr="00AF23E4">
        <w:rPr>
          <w:noProof/>
        </w:rPr>
        <w:t>2</w:t>
      </w:r>
      <w:r w:rsidR="001E08D9" w:rsidRPr="00AF23E4">
        <w:noBreakHyphen/>
      </w:r>
      <w:r w:rsidR="001E08D9" w:rsidRPr="00AF23E4">
        <w:rPr>
          <w:noProof/>
        </w:rPr>
        <w:t>2</w:t>
      </w:r>
      <w:r w:rsidRPr="00AF23E4">
        <w:fldChar w:fldCharType="end"/>
      </w:r>
      <w:r w:rsidRPr="00AF23E4">
        <w:t xml:space="preserve"> shows the sources of data used to compile collection rates used in the model. </w:t>
      </w:r>
    </w:p>
    <w:p w14:paraId="6733FD73" w14:textId="070DFEA9" w:rsidR="00C05E57" w:rsidRPr="00AF23E4" w:rsidRDefault="00C05E57" w:rsidP="00C05E57">
      <w:pPr>
        <w:pStyle w:val="Caption"/>
      </w:pPr>
      <w:bookmarkStart w:id="3" w:name="_Ref83812571"/>
      <w:r w:rsidRPr="00AF23E4">
        <w:t xml:space="preserve">Table </w:t>
      </w:r>
      <w:r w:rsidR="005D5FDF">
        <w:fldChar w:fldCharType="begin"/>
      </w:r>
      <w:r w:rsidR="005D5FDF">
        <w:instrText xml:space="preserve"> STYLEREF 1 \s </w:instrText>
      </w:r>
      <w:r w:rsidR="005D5FDF">
        <w:fldChar w:fldCharType="separate"/>
      </w:r>
      <w:r w:rsidR="001E08D9" w:rsidRPr="00AF23E4">
        <w:rPr>
          <w:noProof/>
        </w:rPr>
        <w:t>2</w:t>
      </w:r>
      <w:r w:rsidR="005D5FDF">
        <w:rPr>
          <w:noProof/>
        </w:rPr>
        <w:fldChar w:fldCharType="end"/>
      </w:r>
      <w:r w:rsidRPr="00AF23E4">
        <w:noBreakHyphen/>
      </w:r>
      <w:r w:rsidR="005D5FDF">
        <w:fldChar w:fldCharType="begin"/>
      </w:r>
      <w:r w:rsidR="005D5FDF">
        <w:instrText xml:space="preserve"> SEQ Table \* ARABIC \s 1 </w:instrText>
      </w:r>
      <w:r w:rsidR="005D5FDF">
        <w:fldChar w:fldCharType="separate"/>
      </w:r>
      <w:r w:rsidR="001E08D9" w:rsidRPr="00AF23E4">
        <w:rPr>
          <w:noProof/>
        </w:rPr>
        <w:t>2</w:t>
      </w:r>
      <w:r w:rsidR="005D5FDF">
        <w:rPr>
          <w:noProof/>
        </w:rPr>
        <w:fldChar w:fldCharType="end"/>
      </w:r>
      <w:bookmarkEnd w:id="3"/>
      <w:r w:rsidRPr="00AF23E4">
        <w:t>: Data sources for collection data.</w:t>
      </w:r>
    </w:p>
    <w:tbl>
      <w:tblPr>
        <w:tblStyle w:val="Eunomia-Totals"/>
        <w:tblW w:w="0" w:type="auto"/>
        <w:tblLook w:val="04A0" w:firstRow="1" w:lastRow="0" w:firstColumn="1" w:lastColumn="0" w:noHBand="0" w:noVBand="1"/>
      </w:tblPr>
      <w:tblGrid>
        <w:gridCol w:w="1494"/>
        <w:gridCol w:w="1562"/>
        <w:gridCol w:w="2326"/>
        <w:gridCol w:w="3634"/>
      </w:tblGrid>
      <w:tr w:rsidR="00C05E57" w:rsidRPr="00AF23E4" w14:paraId="7788ABFD" w14:textId="77777777" w:rsidTr="00285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4" w:type="dxa"/>
          </w:tcPr>
          <w:p w14:paraId="508F0A74" w14:textId="77777777" w:rsidR="00C05E57" w:rsidRPr="00AF23E4" w:rsidRDefault="00C05E57" w:rsidP="002958DD">
            <w:r w:rsidRPr="00AF23E4">
              <w:t>Region / Country</w:t>
            </w:r>
          </w:p>
        </w:tc>
        <w:tc>
          <w:tcPr>
            <w:tcW w:w="1562" w:type="dxa"/>
          </w:tcPr>
          <w:p w14:paraId="1A90F0A4"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Material Type</w:t>
            </w:r>
          </w:p>
        </w:tc>
        <w:tc>
          <w:tcPr>
            <w:tcW w:w="2326" w:type="dxa"/>
          </w:tcPr>
          <w:p w14:paraId="456C77A7"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Collection rate (%)</w:t>
            </w:r>
          </w:p>
        </w:tc>
        <w:tc>
          <w:tcPr>
            <w:tcW w:w="3634" w:type="dxa"/>
          </w:tcPr>
          <w:p w14:paraId="6D3724B9"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Data Source</w:t>
            </w:r>
          </w:p>
        </w:tc>
      </w:tr>
      <w:tr w:rsidR="00C05E57" w:rsidRPr="00AF23E4" w14:paraId="2BFDD296"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val="restart"/>
          </w:tcPr>
          <w:p w14:paraId="513B0092" w14:textId="77777777" w:rsidR="00C05E57" w:rsidRPr="00AF23E4" w:rsidRDefault="00C05E57" w:rsidP="00C359BF">
            <w:pPr>
              <w:spacing w:before="0"/>
            </w:pPr>
            <w:r w:rsidRPr="00AF23E4">
              <w:t>Europe</w:t>
            </w:r>
          </w:p>
        </w:tc>
        <w:tc>
          <w:tcPr>
            <w:tcW w:w="1562" w:type="dxa"/>
          </w:tcPr>
          <w:p w14:paraId="5F91BE06"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Aluminium</w:t>
            </w:r>
          </w:p>
        </w:tc>
        <w:tc>
          <w:tcPr>
            <w:tcW w:w="2326" w:type="dxa"/>
          </w:tcPr>
          <w:p w14:paraId="7533D5FA"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Varies by country</w:t>
            </w:r>
          </w:p>
        </w:tc>
        <w:tc>
          <w:tcPr>
            <w:tcW w:w="3634" w:type="dxa"/>
          </w:tcPr>
          <w:p w14:paraId="60A4C3F1" w14:textId="4FF29AF1"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European Aluminium</w:t>
            </w:r>
            <w:r w:rsidRPr="00AF23E4">
              <w:rPr>
                <w:vertAlign w:val="superscript"/>
              </w:rPr>
              <w:t>3</w:t>
            </w:r>
            <w:r w:rsidRPr="00AF23E4">
              <w:t>, Reloop</w:t>
            </w:r>
            <w:r w:rsidR="00665506" w:rsidRPr="00AF23E4">
              <w:rPr>
                <w:vertAlign w:val="superscript"/>
              </w:rPr>
              <w:t>1</w:t>
            </w:r>
            <w:r w:rsidR="000147CC" w:rsidRPr="00AF23E4">
              <w:rPr>
                <w:vertAlign w:val="superscript"/>
              </w:rPr>
              <w:t>2</w:t>
            </w:r>
            <w:r w:rsidRPr="00AF23E4">
              <w:t xml:space="preserve"> </w:t>
            </w:r>
          </w:p>
        </w:tc>
      </w:tr>
      <w:tr w:rsidR="00C05E57" w:rsidRPr="00AF23E4" w14:paraId="7D3C1A57"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tcPr>
          <w:p w14:paraId="43849CC2" w14:textId="77777777" w:rsidR="00C05E57" w:rsidRPr="00AF23E4" w:rsidRDefault="00C05E57" w:rsidP="00C359BF">
            <w:pPr>
              <w:spacing w:before="0"/>
            </w:pPr>
          </w:p>
        </w:tc>
        <w:tc>
          <w:tcPr>
            <w:tcW w:w="1562" w:type="dxa"/>
          </w:tcPr>
          <w:p w14:paraId="517E9744"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PET</w:t>
            </w:r>
          </w:p>
        </w:tc>
        <w:tc>
          <w:tcPr>
            <w:tcW w:w="2326" w:type="dxa"/>
          </w:tcPr>
          <w:p w14:paraId="007DEEEA"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Varies by country</w:t>
            </w:r>
          </w:p>
        </w:tc>
        <w:tc>
          <w:tcPr>
            <w:tcW w:w="3634" w:type="dxa"/>
          </w:tcPr>
          <w:p w14:paraId="7A432700" w14:textId="1450EE08"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UNESDA</w:t>
            </w:r>
            <w:r w:rsidRPr="00AF23E4">
              <w:rPr>
                <w:rStyle w:val="FootnoteReference"/>
                <w:sz w:val="22"/>
                <w:szCs w:val="22"/>
              </w:rPr>
              <w:footnoteReference w:id="14"/>
            </w:r>
            <w:r w:rsidRPr="00AF23E4">
              <w:t>, Reloop</w:t>
            </w:r>
            <w:r w:rsidR="00665506" w:rsidRPr="00AF23E4">
              <w:rPr>
                <w:vertAlign w:val="superscript"/>
              </w:rPr>
              <w:t>1</w:t>
            </w:r>
            <w:r w:rsidR="000147CC" w:rsidRPr="00AF23E4">
              <w:rPr>
                <w:vertAlign w:val="superscript"/>
              </w:rPr>
              <w:t>2</w:t>
            </w:r>
          </w:p>
        </w:tc>
      </w:tr>
      <w:tr w:rsidR="00C05E57" w:rsidRPr="00AF23E4" w14:paraId="6D54F4F7"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tcPr>
          <w:p w14:paraId="05CB8434" w14:textId="77777777" w:rsidR="00C05E57" w:rsidRPr="00AF23E4" w:rsidRDefault="00C05E57" w:rsidP="00C359BF">
            <w:pPr>
              <w:spacing w:before="0"/>
            </w:pPr>
          </w:p>
        </w:tc>
        <w:tc>
          <w:tcPr>
            <w:tcW w:w="1562" w:type="dxa"/>
          </w:tcPr>
          <w:p w14:paraId="6B9B7776"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Glass</w:t>
            </w:r>
          </w:p>
        </w:tc>
        <w:tc>
          <w:tcPr>
            <w:tcW w:w="2326" w:type="dxa"/>
          </w:tcPr>
          <w:p w14:paraId="4642C907"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Varies by country</w:t>
            </w:r>
          </w:p>
        </w:tc>
        <w:tc>
          <w:tcPr>
            <w:tcW w:w="3634" w:type="dxa"/>
          </w:tcPr>
          <w:p w14:paraId="0B26DF66" w14:textId="474A4DB8"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FEVE</w:t>
            </w:r>
            <w:r w:rsidR="00FD6020" w:rsidRPr="00AF23E4">
              <w:rPr>
                <w:vertAlign w:val="superscript"/>
              </w:rPr>
              <w:t>6</w:t>
            </w:r>
            <w:r w:rsidRPr="00AF23E4">
              <w:t>, Reloop</w:t>
            </w:r>
            <w:r w:rsidR="00665506" w:rsidRPr="00AF23E4">
              <w:rPr>
                <w:vertAlign w:val="superscript"/>
              </w:rPr>
              <w:t>1</w:t>
            </w:r>
            <w:r w:rsidR="000147CC" w:rsidRPr="00AF23E4">
              <w:rPr>
                <w:vertAlign w:val="superscript"/>
              </w:rPr>
              <w:t>2</w:t>
            </w:r>
          </w:p>
        </w:tc>
      </w:tr>
      <w:tr w:rsidR="00C05E57" w:rsidRPr="00AF23E4" w14:paraId="48672611" w14:textId="77777777" w:rsidTr="00285AC1">
        <w:trPr>
          <w:trHeight w:val="434"/>
        </w:trPr>
        <w:tc>
          <w:tcPr>
            <w:cnfStyle w:val="001000000000" w:firstRow="0" w:lastRow="0" w:firstColumn="1" w:lastColumn="0" w:oddVBand="0" w:evenVBand="0" w:oddHBand="0" w:evenHBand="0" w:firstRowFirstColumn="0" w:firstRowLastColumn="0" w:lastRowFirstColumn="0" w:lastRowLastColumn="0"/>
            <w:tcW w:w="1494" w:type="dxa"/>
          </w:tcPr>
          <w:p w14:paraId="6F46884F" w14:textId="77777777" w:rsidR="00C05E57" w:rsidRPr="00AF23E4" w:rsidRDefault="00C05E57" w:rsidP="00C359BF">
            <w:pPr>
              <w:spacing w:before="0"/>
            </w:pPr>
            <w:r w:rsidRPr="00AF23E4">
              <w:t>USA</w:t>
            </w:r>
          </w:p>
        </w:tc>
        <w:tc>
          <w:tcPr>
            <w:tcW w:w="1562" w:type="dxa"/>
          </w:tcPr>
          <w:p w14:paraId="7FE84425"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All</w:t>
            </w:r>
          </w:p>
        </w:tc>
        <w:tc>
          <w:tcPr>
            <w:tcW w:w="2326" w:type="dxa"/>
          </w:tcPr>
          <w:p w14:paraId="0C8B2C9E"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Varies by state</w:t>
            </w:r>
          </w:p>
        </w:tc>
        <w:tc>
          <w:tcPr>
            <w:tcW w:w="3634" w:type="dxa"/>
          </w:tcPr>
          <w:p w14:paraId="523B4F89" w14:textId="3ECBCABB" w:rsidR="00C05E57" w:rsidRPr="00AF23E4" w:rsidRDefault="00FD6020" w:rsidP="00C359BF">
            <w:pPr>
              <w:spacing w:before="0"/>
              <w:cnfStyle w:val="000000000000" w:firstRow="0" w:lastRow="0" w:firstColumn="0" w:lastColumn="0" w:oddVBand="0" w:evenVBand="0" w:oddHBand="0" w:evenHBand="0" w:firstRowFirstColumn="0" w:firstRowLastColumn="0" w:lastRowFirstColumn="0" w:lastRowLastColumn="0"/>
            </w:pPr>
            <w:r w:rsidRPr="00AF23E4">
              <w:t>Eunomia</w:t>
            </w:r>
            <w:r w:rsidR="000147CC" w:rsidRPr="00AF23E4">
              <w:rPr>
                <w:vertAlign w:val="superscript"/>
              </w:rPr>
              <w:t>7</w:t>
            </w:r>
            <w:r w:rsidR="00C05E57" w:rsidRPr="00AF23E4">
              <w:t>, Reloop</w:t>
            </w:r>
            <w:r w:rsidR="00665506" w:rsidRPr="00AF23E4">
              <w:rPr>
                <w:vertAlign w:val="superscript"/>
              </w:rPr>
              <w:t>1</w:t>
            </w:r>
            <w:r w:rsidR="000147CC" w:rsidRPr="00AF23E4">
              <w:rPr>
                <w:vertAlign w:val="superscript"/>
              </w:rPr>
              <w:t>2</w:t>
            </w:r>
          </w:p>
        </w:tc>
      </w:tr>
      <w:tr w:rsidR="00C05E57" w:rsidRPr="00AF23E4" w14:paraId="1B077EA1"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val="restart"/>
          </w:tcPr>
          <w:p w14:paraId="382C3836" w14:textId="77777777" w:rsidR="00C05E57" w:rsidRPr="00AF23E4" w:rsidRDefault="00C05E57" w:rsidP="00C359BF">
            <w:pPr>
              <w:spacing w:before="0"/>
            </w:pPr>
            <w:r w:rsidRPr="00AF23E4">
              <w:t>Japan</w:t>
            </w:r>
          </w:p>
        </w:tc>
        <w:tc>
          <w:tcPr>
            <w:tcW w:w="1562" w:type="dxa"/>
          </w:tcPr>
          <w:p w14:paraId="137547E3"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Aluminium</w:t>
            </w:r>
          </w:p>
        </w:tc>
        <w:tc>
          <w:tcPr>
            <w:tcW w:w="2326" w:type="dxa"/>
          </w:tcPr>
          <w:p w14:paraId="155381E5"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99.7%</w:t>
            </w:r>
          </w:p>
        </w:tc>
        <w:tc>
          <w:tcPr>
            <w:tcW w:w="3634" w:type="dxa"/>
          </w:tcPr>
          <w:p w14:paraId="3FAAEB09"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Japanese Aluminium Can Recycling Association</w:t>
            </w:r>
            <w:r w:rsidRPr="00AF23E4">
              <w:rPr>
                <w:vertAlign w:val="superscript"/>
              </w:rPr>
              <w:t>8</w:t>
            </w:r>
          </w:p>
        </w:tc>
      </w:tr>
      <w:tr w:rsidR="00C05E57" w:rsidRPr="00AF23E4" w14:paraId="55D6D540"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tcPr>
          <w:p w14:paraId="0991AF79" w14:textId="77777777" w:rsidR="00C05E57" w:rsidRPr="00AF23E4" w:rsidRDefault="00C05E57" w:rsidP="00C359BF">
            <w:pPr>
              <w:spacing w:before="0"/>
            </w:pPr>
          </w:p>
        </w:tc>
        <w:tc>
          <w:tcPr>
            <w:tcW w:w="1562" w:type="dxa"/>
          </w:tcPr>
          <w:p w14:paraId="35056549"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PET</w:t>
            </w:r>
          </w:p>
        </w:tc>
        <w:tc>
          <w:tcPr>
            <w:tcW w:w="2326" w:type="dxa"/>
          </w:tcPr>
          <w:p w14:paraId="2B0B816E"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92.2%</w:t>
            </w:r>
          </w:p>
        </w:tc>
        <w:tc>
          <w:tcPr>
            <w:tcW w:w="3634" w:type="dxa"/>
          </w:tcPr>
          <w:p w14:paraId="73711F9E"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The Council for PET Bottle Recycling</w:t>
            </w:r>
            <w:r w:rsidRPr="00AF23E4">
              <w:rPr>
                <w:vertAlign w:val="superscript"/>
              </w:rPr>
              <w:t>9</w:t>
            </w:r>
          </w:p>
        </w:tc>
      </w:tr>
      <w:tr w:rsidR="00C05E57" w:rsidRPr="00AF23E4" w14:paraId="242A1577"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tcPr>
          <w:p w14:paraId="2DBFE4F9" w14:textId="77777777" w:rsidR="00C05E57" w:rsidRPr="00AF23E4" w:rsidRDefault="00C05E57" w:rsidP="00C359BF">
            <w:pPr>
              <w:spacing w:before="0"/>
            </w:pPr>
          </w:p>
        </w:tc>
        <w:tc>
          <w:tcPr>
            <w:tcW w:w="1562" w:type="dxa"/>
          </w:tcPr>
          <w:p w14:paraId="35BFED70"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Glass</w:t>
            </w:r>
          </w:p>
        </w:tc>
        <w:tc>
          <w:tcPr>
            <w:tcW w:w="2326" w:type="dxa"/>
          </w:tcPr>
          <w:p w14:paraId="1F04B862"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86.2%</w:t>
            </w:r>
          </w:p>
        </w:tc>
        <w:tc>
          <w:tcPr>
            <w:tcW w:w="3634" w:type="dxa"/>
          </w:tcPr>
          <w:p w14:paraId="13224126" w14:textId="77777777" w:rsidR="00C05E57" w:rsidRPr="00AF23E4" w:rsidRDefault="00C05E57" w:rsidP="00C359BF">
            <w:pPr>
              <w:spacing w:before="0"/>
              <w:cnfStyle w:val="000000000000" w:firstRow="0" w:lastRow="0" w:firstColumn="0" w:lastColumn="0" w:oddVBand="0" w:evenVBand="0" w:oddHBand="0" w:evenHBand="0" w:firstRowFirstColumn="0" w:firstRowLastColumn="0" w:lastRowFirstColumn="0" w:lastRowLastColumn="0"/>
            </w:pPr>
            <w:r w:rsidRPr="00AF23E4">
              <w:t>Glass Bottle 3R Promotion Association</w:t>
            </w:r>
            <w:r w:rsidRPr="00AF23E4">
              <w:rPr>
                <w:vertAlign w:val="superscript"/>
              </w:rPr>
              <w:t>10</w:t>
            </w:r>
          </w:p>
        </w:tc>
      </w:tr>
      <w:tr w:rsidR="00285AC1" w:rsidRPr="00AF23E4" w14:paraId="5B664399" w14:textId="77777777" w:rsidTr="00C92250">
        <w:tc>
          <w:tcPr>
            <w:cnfStyle w:val="001000000000" w:firstRow="0" w:lastRow="0" w:firstColumn="1" w:lastColumn="0" w:oddVBand="0" w:evenVBand="0" w:oddHBand="0" w:evenHBand="0" w:firstRowFirstColumn="0" w:firstRowLastColumn="0" w:lastRowFirstColumn="0" w:lastRowLastColumn="0"/>
            <w:tcW w:w="1494" w:type="dxa"/>
            <w:vMerge w:val="restart"/>
          </w:tcPr>
          <w:p w14:paraId="7D8634B8" w14:textId="77777777" w:rsidR="00285AC1" w:rsidRPr="00AF23E4" w:rsidRDefault="00285AC1" w:rsidP="00C359BF">
            <w:pPr>
              <w:spacing w:before="0"/>
            </w:pPr>
            <w:r w:rsidRPr="00AF23E4">
              <w:t>Brazil</w:t>
            </w:r>
          </w:p>
        </w:tc>
        <w:tc>
          <w:tcPr>
            <w:tcW w:w="1562" w:type="dxa"/>
          </w:tcPr>
          <w:p w14:paraId="20A1636B" w14:textId="77777777" w:rsidR="00285AC1" w:rsidRPr="00AF23E4" w:rsidRDefault="00285AC1" w:rsidP="00C359BF">
            <w:pPr>
              <w:spacing w:before="0"/>
              <w:cnfStyle w:val="000000000000" w:firstRow="0" w:lastRow="0" w:firstColumn="0" w:lastColumn="0" w:oddVBand="0" w:evenVBand="0" w:oddHBand="0" w:evenHBand="0" w:firstRowFirstColumn="0" w:firstRowLastColumn="0" w:lastRowFirstColumn="0" w:lastRowLastColumn="0"/>
            </w:pPr>
            <w:r w:rsidRPr="00AF23E4">
              <w:t>Aluminium</w:t>
            </w:r>
          </w:p>
        </w:tc>
        <w:tc>
          <w:tcPr>
            <w:tcW w:w="2326" w:type="dxa"/>
            <w:shd w:val="clear" w:color="auto" w:fill="auto"/>
          </w:tcPr>
          <w:p w14:paraId="6A6FBAFD" w14:textId="2B2D4286" w:rsidR="00285AC1" w:rsidRPr="00AF23E4" w:rsidRDefault="00285AC1" w:rsidP="00C359BF">
            <w:pPr>
              <w:spacing w:before="0"/>
              <w:cnfStyle w:val="000000000000" w:firstRow="0" w:lastRow="0" w:firstColumn="0" w:lastColumn="0" w:oddVBand="0" w:evenVBand="0" w:oddHBand="0" w:evenHBand="0" w:firstRowFirstColumn="0" w:firstRowLastColumn="0" w:lastRowFirstColumn="0" w:lastRowLastColumn="0"/>
            </w:pPr>
            <w:r w:rsidRPr="00AF23E4">
              <w:t>9</w:t>
            </w:r>
            <w:r w:rsidR="0006497A" w:rsidRPr="00AF23E4">
              <w:t>8</w:t>
            </w:r>
            <w:r w:rsidRPr="00AF23E4">
              <w:t>.6%</w:t>
            </w:r>
          </w:p>
        </w:tc>
        <w:tc>
          <w:tcPr>
            <w:tcW w:w="3634" w:type="dxa"/>
          </w:tcPr>
          <w:p w14:paraId="5B6561D0" w14:textId="6566823D" w:rsidR="00285AC1" w:rsidRPr="00AF23E4" w:rsidRDefault="000147CC" w:rsidP="00C359BF">
            <w:pPr>
              <w:spacing w:before="0"/>
              <w:cnfStyle w:val="000000000000" w:firstRow="0" w:lastRow="0" w:firstColumn="0" w:lastColumn="0" w:oddVBand="0" w:evenVBand="0" w:oddHBand="0" w:evenHBand="0" w:firstRowFirstColumn="0" w:firstRowLastColumn="0" w:lastRowFirstColumn="0" w:lastRowLastColumn="0"/>
            </w:pPr>
            <w:r w:rsidRPr="00AF23E4">
              <w:t>ABAL</w:t>
            </w:r>
            <w:r w:rsidRPr="00AF23E4">
              <w:rPr>
                <w:vertAlign w:val="superscript"/>
              </w:rPr>
              <w:t>2</w:t>
            </w:r>
          </w:p>
        </w:tc>
      </w:tr>
      <w:tr w:rsidR="00285AC1" w:rsidRPr="00AF23E4" w14:paraId="5177AAC1" w14:textId="77777777" w:rsidTr="00C92250">
        <w:tc>
          <w:tcPr>
            <w:cnfStyle w:val="001000000000" w:firstRow="0" w:lastRow="0" w:firstColumn="1" w:lastColumn="0" w:oddVBand="0" w:evenVBand="0" w:oddHBand="0" w:evenHBand="0" w:firstRowFirstColumn="0" w:firstRowLastColumn="0" w:lastRowFirstColumn="0" w:lastRowLastColumn="0"/>
            <w:tcW w:w="1494" w:type="dxa"/>
            <w:vMerge/>
          </w:tcPr>
          <w:p w14:paraId="7D3C3904" w14:textId="77777777" w:rsidR="00285AC1" w:rsidRPr="00AF23E4" w:rsidRDefault="00285AC1" w:rsidP="00C359BF">
            <w:pPr>
              <w:spacing w:before="0"/>
            </w:pPr>
          </w:p>
        </w:tc>
        <w:tc>
          <w:tcPr>
            <w:tcW w:w="1562" w:type="dxa"/>
          </w:tcPr>
          <w:p w14:paraId="0A645900" w14:textId="77777777" w:rsidR="00285AC1" w:rsidRPr="00AF23E4" w:rsidRDefault="00285AC1" w:rsidP="00C359BF">
            <w:pPr>
              <w:spacing w:before="0"/>
              <w:cnfStyle w:val="000000000000" w:firstRow="0" w:lastRow="0" w:firstColumn="0" w:lastColumn="0" w:oddVBand="0" w:evenVBand="0" w:oddHBand="0" w:evenHBand="0" w:firstRowFirstColumn="0" w:firstRowLastColumn="0" w:lastRowFirstColumn="0" w:lastRowLastColumn="0"/>
            </w:pPr>
            <w:r w:rsidRPr="00AF23E4">
              <w:t>PET</w:t>
            </w:r>
          </w:p>
        </w:tc>
        <w:tc>
          <w:tcPr>
            <w:tcW w:w="2326" w:type="dxa"/>
            <w:shd w:val="clear" w:color="auto" w:fill="auto"/>
          </w:tcPr>
          <w:p w14:paraId="46B702EE" w14:textId="289F5680" w:rsidR="00285AC1" w:rsidRPr="00AF23E4" w:rsidRDefault="00285AC1" w:rsidP="00C359BF">
            <w:pPr>
              <w:spacing w:before="0"/>
              <w:cnfStyle w:val="000000000000" w:firstRow="0" w:lastRow="0" w:firstColumn="0" w:lastColumn="0" w:oddVBand="0" w:evenVBand="0" w:oddHBand="0" w:evenHBand="0" w:firstRowFirstColumn="0" w:firstRowLastColumn="0" w:lastRowFirstColumn="0" w:lastRowLastColumn="0"/>
            </w:pPr>
            <w:r w:rsidRPr="00AF23E4">
              <w:t>5</w:t>
            </w:r>
            <w:r w:rsidR="00501CE8" w:rsidRPr="00AF23E4">
              <w:t>5</w:t>
            </w:r>
            <w:r w:rsidRPr="00AF23E4">
              <w:t>.0%</w:t>
            </w:r>
          </w:p>
        </w:tc>
        <w:tc>
          <w:tcPr>
            <w:tcW w:w="3634" w:type="dxa"/>
          </w:tcPr>
          <w:p w14:paraId="75F84B8F" w14:textId="31453E7D" w:rsidR="00285AC1"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proofErr w:type="spellStart"/>
            <w:r w:rsidRPr="00AF23E4">
              <w:t>Abipet</w:t>
            </w:r>
            <w:proofErr w:type="spellEnd"/>
            <w:r w:rsidRPr="00AF23E4">
              <w:t xml:space="preserve"> (2019)</w:t>
            </w:r>
            <w:r w:rsidR="00117F79" w:rsidRPr="00AF23E4">
              <w:rPr>
                <w:rStyle w:val="FootnoteReference"/>
                <w:sz w:val="22"/>
                <w:szCs w:val="22"/>
              </w:rPr>
              <w:footnoteReference w:id="15"/>
            </w:r>
          </w:p>
        </w:tc>
      </w:tr>
      <w:tr w:rsidR="00CC2D2E" w:rsidRPr="00AF23E4" w14:paraId="1A373468"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tcPr>
          <w:p w14:paraId="76DE870D" w14:textId="77777777" w:rsidR="00CC2D2E" w:rsidRPr="00AF23E4" w:rsidRDefault="00CC2D2E" w:rsidP="00C359BF">
            <w:pPr>
              <w:spacing w:before="0"/>
            </w:pPr>
          </w:p>
        </w:tc>
        <w:tc>
          <w:tcPr>
            <w:tcW w:w="1562" w:type="dxa"/>
          </w:tcPr>
          <w:p w14:paraId="51EFEEDD" w14:textId="77777777"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r w:rsidRPr="00AF23E4">
              <w:t>Glass</w:t>
            </w:r>
          </w:p>
        </w:tc>
        <w:tc>
          <w:tcPr>
            <w:tcW w:w="2326" w:type="dxa"/>
          </w:tcPr>
          <w:p w14:paraId="7CAB78E9" w14:textId="77777777"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r w:rsidRPr="00AF23E4">
              <w:t>47.0%</w:t>
            </w:r>
          </w:p>
        </w:tc>
        <w:tc>
          <w:tcPr>
            <w:tcW w:w="3634" w:type="dxa"/>
          </w:tcPr>
          <w:p w14:paraId="594A80AC" w14:textId="74EADA73"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proofErr w:type="spellStart"/>
            <w:r w:rsidRPr="00AF23E4">
              <w:t>Sphera</w:t>
            </w:r>
            <w:proofErr w:type="spellEnd"/>
            <w:r w:rsidRPr="00AF23E4">
              <w:t xml:space="preserve"> for Ball Packaging (2020)</w:t>
            </w:r>
            <w:r w:rsidRPr="00AF23E4">
              <w:rPr>
                <w:rStyle w:val="FootnoteReference"/>
                <w:sz w:val="22"/>
                <w:szCs w:val="22"/>
              </w:rPr>
              <w:footnoteReference w:id="16"/>
            </w:r>
          </w:p>
        </w:tc>
      </w:tr>
      <w:tr w:rsidR="00CC2D2E" w:rsidRPr="00AF23E4" w14:paraId="7499E0C5"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val="restart"/>
          </w:tcPr>
          <w:p w14:paraId="52E23F2A" w14:textId="77777777" w:rsidR="00CC2D2E" w:rsidRPr="00AF23E4" w:rsidRDefault="00CC2D2E" w:rsidP="00C359BF">
            <w:pPr>
              <w:spacing w:before="0"/>
            </w:pPr>
            <w:r w:rsidRPr="00AF23E4">
              <w:t>China</w:t>
            </w:r>
          </w:p>
        </w:tc>
        <w:tc>
          <w:tcPr>
            <w:tcW w:w="1562" w:type="dxa"/>
          </w:tcPr>
          <w:p w14:paraId="4C9E0FBD" w14:textId="77777777"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r w:rsidRPr="00AF23E4">
              <w:t>Aluminium</w:t>
            </w:r>
          </w:p>
        </w:tc>
        <w:tc>
          <w:tcPr>
            <w:tcW w:w="2326" w:type="dxa"/>
          </w:tcPr>
          <w:p w14:paraId="66CEAB90" w14:textId="77777777"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r w:rsidRPr="00AF23E4">
              <w:t>98.0%</w:t>
            </w:r>
          </w:p>
        </w:tc>
        <w:tc>
          <w:tcPr>
            <w:tcW w:w="3634" w:type="dxa"/>
          </w:tcPr>
          <w:p w14:paraId="21988E5A" w14:textId="77777777"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r w:rsidRPr="00AF23E4">
              <w:t>Antiake</w:t>
            </w:r>
            <w:r w:rsidRPr="00AF23E4">
              <w:rPr>
                <w:vertAlign w:val="superscript"/>
              </w:rPr>
              <w:t>3</w:t>
            </w:r>
          </w:p>
        </w:tc>
      </w:tr>
      <w:tr w:rsidR="00CC2D2E" w:rsidRPr="00AF23E4" w14:paraId="0443D3BB"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tcPr>
          <w:p w14:paraId="4E50C9BF" w14:textId="77777777" w:rsidR="00CC2D2E" w:rsidRPr="00AF23E4" w:rsidRDefault="00CC2D2E" w:rsidP="00C359BF">
            <w:pPr>
              <w:spacing w:before="0"/>
            </w:pPr>
          </w:p>
        </w:tc>
        <w:tc>
          <w:tcPr>
            <w:tcW w:w="1562" w:type="dxa"/>
          </w:tcPr>
          <w:p w14:paraId="0C5878AF" w14:textId="77777777"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r w:rsidRPr="00AF23E4">
              <w:t>PET</w:t>
            </w:r>
          </w:p>
        </w:tc>
        <w:tc>
          <w:tcPr>
            <w:tcW w:w="2326" w:type="dxa"/>
          </w:tcPr>
          <w:p w14:paraId="391A9250" w14:textId="77777777"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r w:rsidRPr="00AF23E4">
              <w:t>75.0%</w:t>
            </w:r>
          </w:p>
        </w:tc>
        <w:tc>
          <w:tcPr>
            <w:tcW w:w="3634" w:type="dxa"/>
          </w:tcPr>
          <w:p w14:paraId="4B6BDE81" w14:textId="77777777" w:rsidR="00CC2D2E" w:rsidRPr="00AF23E4" w:rsidRDefault="00CC2D2E" w:rsidP="00C359BF">
            <w:pPr>
              <w:spacing w:before="0"/>
              <w:cnfStyle w:val="000000000000" w:firstRow="0" w:lastRow="0" w:firstColumn="0" w:lastColumn="0" w:oddVBand="0" w:evenVBand="0" w:oddHBand="0" w:evenHBand="0" w:firstRowFirstColumn="0" w:firstRowLastColumn="0" w:lastRowFirstColumn="0" w:lastRowLastColumn="0"/>
            </w:pPr>
            <w:r w:rsidRPr="00AF23E4">
              <w:t>Assumption</w:t>
            </w:r>
          </w:p>
        </w:tc>
      </w:tr>
      <w:tr w:rsidR="00CC2D2E" w:rsidRPr="00AF23E4" w14:paraId="3982AA03" w14:textId="77777777" w:rsidTr="00285AC1">
        <w:tc>
          <w:tcPr>
            <w:cnfStyle w:val="001000000000" w:firstRow="0" w:lastRow="0" w:firstColumn="1" w:lastColumn="0" w:oddVBand="0" w:evenVBand="0" w:oddHBand="0" w:evenHBand="0" w:firstRowFirstColumn="0" w:firstRowLastColumn="0" w:lastRowFirstColumn="0" w:lastRowLastColumn="0"/>
            <w:tcW w:w="1494" w:type="dxa"/>
            <w:vMerge/>
          </w:tcPr>
          <w:p w14:paraId="391E70BF" w14:textId="77777777" w:rsidR="00CC2D2E" w:rsidRPr="00AF23E4" w:rsidRDefault="00CC2D2E" w:rsidP="00CC2D2E"/>
        </w:tc>
        <w:tc>
          <w:tcPr>
            <w:tcW w:w="1562" w:type="dxa"/>
          </w:tcPr>
          <w:p w14:paraId="5FD8119F" w14:textId="77777777" w:rsidR="00CC2D2E" w:rsidRPr="00AF23E4" w:rsidRDefault="00CC2D2E" w:rsidP="007F1D76">
            <w:pPr>
              <w:cnfStyle w:val="000000000000" w:firstRow="0" w:lastRow="0" w:firstColumn="0" w:lastColumn="0" w:oddVBand="0" w:evenVBand="0" w:oddHBand="0" w:evenHBand="0" w:firstRowFirstColumn="0" w:firstRowLastColumn="0" w:lastRowFirstColumn="0" w:lastRowLastColumn="0"/>
            </w:pPr>
            <w:r w:rsidRPr="00AF23E4">
              <w:t>Glass</w:t>
            </w:r>
          </w:p>
        </w:tc>
        <w:tc>
          <w:tcPr>
            <w:tcW w:w="2326" w:type="dxa"/>
          </w:tcPr>
          <w:p w14:paraId="7F28F07A" w14:textId="77777777" w:rsidR="00CC2D2E" w:rsidRPr="00AF23E4" w:rsidRDefault="00CC2D2E" w:rsidP="007F1D76">
            <w:pPr>
              <w:cnfStyle w:val="000000000000" w:firstRow="0" w:lastRow="0" w:firstColumn="0" w:lastColumn="0" w:oddVBand="0" w:evenVBand="0" w:oddHBand="0" w:evenHBand="0" w:firstRowFirstColumn="0" w:firstRowLastColumn="0" w:lastRowFirstColumn="0" w:lastRowLastColumn="0"/>
            </w:pPr>
            <w:r w:rsidRPr="00AF23E4">
              <w:t>35.0%</w:t>
            </w:r>
          </w:p>
        </w:tc>
        <w:tc>
          <w:tcPr>
            <w:tcW w:w="3634" w:type="dxa"/>
          </w:tcPr>
          <w:p w14:paraId="609E71DA" w14:textId="77777777" w:rsidR="00CC2D2E" w:rsidRPr="00AF23E4" w:rsidRDefault="00CC2D2E" w:rsidP="007F1D76">
            <w:pPr>
              <w:cnfStyle w:val="000000000000" w:firstRow="0" w:lastRow="0" w:firstColumn="0" w:lastColumn="0" w:oddVBand="0" w:evenVBand="0" w:oddHBand="0" w:evenHBand="0" w:firstRowFirstColumn="0" w:firstRowLastColumn="0" w:lastRowFirstColumn="0" w:lastRowLastColumn="0"/>
            </w:pPr>
            <w:r w:rsidRPr="00AF23E4">
              <w:t>Assumption</w:t>
            </w:r>
          </w:p>
        </w:tc>
      </w:tr>
    </w:tbl>
    <w:p w14:paraId="6BA82F67" w14:textId="77777777" w:rsidR="00C359BF" w:rsidRPr="00AF23E4" w:rsidRDefault="00C359BF" w:rsidP="00C05E57"/>
    <w:p w14:paraId="7980AB47" w14:textId="29CDD290" w:rsidR="00651DA2" w:rsidRPr="00AF23E4" w:rsidRDefault="00651DA2" w:rsidP="00C05E57">
      <w:r w:rsidRPr="00AF23E4">
        <w:lastRenderedPageBreak/>
        <w:t xml:space="preserve">It should be noted that </w:t>
      </w:r>
      <w:r w:rsidR="00CA3138" w:rsidRPr="00AF23E4">
        <w:t xml:space="preserve">the collection systems in operation in Brazil and China are markedly different from those in Europe, the USA and Japan. In Brazil and China, </w:t>
      </w:r>
      <w:r w:rsidR="00AB329C" w:rsidRPr="00AF23E4">
        <w:t xml:space="preserve">a large proportion of recyclable material is collected by the informal sector due to the intrinsic value of </w:t>
      </w:r>
      <w:r w:rsidR="005B39B0" w:rsidRPr="00AF23E4">
        <w:t xml:space="preserve">the </w:t>
      </w:r>
      <w:r w:rsidR="00AB329C" w:rsidRPr="00AF23E4">
        <w:t>aluminium</w:t>
      </w:r>
      <w:r w:rsidR="00686C3C" w:rsidRPr="00AF23E4">
        <w:t>, PET and glass tha</w:t>
      </w:r>
      <w:r w:rsidR="005B39B0" w:rsidRPr="00AF23E4">
        <w:t>t</w:t>
      </w:r>
      <w:r w:rsidR="00686C3C" w:rsidRPr="00AF23E4">
        <w:t xml:space="preserve"> form</w:t>
      </w:r>
      <w:r w:rsidR="005B39B0" w:rsidRPr="00AF23E4">
        <w:t>s</w:t>
      </w:r>
      <w:r w:rsidR="00AB329C" w:rsidRPr="00AF23E4">
        <w:t xml:space="preserve"> beverage</w:t>
      </w:r>
      <w:r w:rsidR="00686C3C" w:rsidRPr="00AF23E4">
        <w:t xml:space="preserve"> containers.</w:t>
      </w:r>
      <w:r w:rsidR="007F3FDA" w:rsidRPr="00AF23E4">
        <w:t xml:space="preserve"> The collections rates </w:t>
      </w:r>
      <w:r w:rsidR="005C0BCD" w:rsidRPr="00AF23E4">
        <w:t>are highest for aluminium, the</w:t>
      </w:r>
      <w:r w:rsidR="007F3FDA" w:rsidRPr="00AF23E4">
        <w:t xml:space="preserve"> material with the</w:t>
      </w:r>
      <w:r w:rsidR="005C0BCD" w:rsidRPr="00AF23E4">
        <w:t xml:space="preserve"> greatest monetary value, and lowest for glass.</w:t>
      </w:r>
      <w:r w:rsidR="00686C3C" w:rsidRPr="00AF23E4">
        <w:t xml:space="preserve"> </w:t>
      </w:r>
      <w:r w:rsidR="005B39B0" w:rsidRPr="00AF23E4">
        <w:t>As such, it is difficult to find accurate data on the true collection rates in these countries. In these in</w:t>
      </w:r>
      <w:r w:rsidR="004C23C2" w:rsidRPr="00AF23E4">
        <w:t xml:space="preserve">stances, collection rates have been </w:t>
      </w:r>
      <w:r w:rsidR="00DB593B" w:rsidRPr="00AF23E4">
        <w:t>back-calculated</w:t>
      </w:r>
      <w:r w:rsidR="004C23C2" w:rsidRPr="00AF23E4">
        <w:t xml:space="preserve"> </w:t>
      </w:r>
      <w:r w:rsidR="00DB593B" w:rsidRPr="00AF23E4">
        <w:t>from</w:t>
      </w:r>
      <w:r w:rsidR="004C23C2" w:rsidRPr="00AF23E4">
        <w:t xml:space="preserve"> the ‘sorted for recycling rates’</w:t>
      </w:r>
      <w:r w:rsidR="00DB593B" w:rsidRPr="00AF23E4">
        <w:t xml:space="preserve"> </w:t>
      </w:r>
      <w:r w:rsidR="004C23C2" w:rsidRPr="00AF23E4">
        <w:t xml:space="preserve">made available to Eunomia </w:t>
      </w:r>
      <w:r w:rsidR="00DB593B" w:rsidRPr="00AF23E4">
        <w:t xml:space="preserve">by the regional aluminium associations. </w:t>
      </w:r>
      <w:r w:rsidR="00686C3C" w:rsidRPr="00AF23E4">
        <w:t xml:space="preserve">Due to the difference in collection systems, data for China and Brazil </w:t>
      </w:r>
      <w:r w:rsidR="00C07B5C" w:rsidRPr="00AF23E4">
        <w:t>are</w:t>
      </w:r>
      <w:r w:rsidR="00686C3C" w:rsidRPr="00AF23E4">
        <w:t xml:space="preserve"> not directly comparable to the </w:t>
      </w:r>
      <w:r w:rsidR="00C07B5C" w:rsidRPr="00AF23E4">
        <w:t xml:space="preserve">European, US and Japanese equivalents. </w:t>
      </w:r>
    </w:p>
    <w:p w14:paraId="072EAC40" w14:textId="1488BC20" w:rsidR="00397208" w:rsidRPr="00AF23E4" w:rsidRDefault="00397208" w:rsidP="00397208">
      <w:r w:rsidRPr="00AF23E4">
        <w:t xml:space="preserve">Those containers that are not collected for recycling are then disposed of via incineration or landfill. The proportion disposed of via each method is shown in </w:t>
      </w:r>
      <w:r w:rsidRPr="00AF23E4">
        <w:fldChar w:fldCharType="begin"/>
      </w:r>
      <w:r w:rsidRPr="00AF23E4">
        <w:instrText xml:space="preserve"> REF _Ref86138100 \h </w:instrText>
      </w:r>
      <w:r w:rsidR="00AF23E4">
        <w:instrText xml:space="preserve"> \* MERGEFORMAT </w:instrText>
      </w:r>
      <w:r w:rsidRPr="00AF23E4">
        <w:fldChar w:fldCharType="separate"/>
      </w:r>
      <w:r w:rsidRPr="00AF23E4">
        <w:t xml:space="preserve">Table </w:t>
      </w:r>
      <w:r w:rsidRPr="00AF23E4">
        <w:rPr>
          <w:noProof/>
        </w:rPr>
        <w:t>2</w:t>
      </w:r>
      <w:r w:rsidRPr="00AF23E4">
        <w:noBreakHyphen/>
      </w:r>
      <w:r w:rsidRPr="00AF23E4">
        <w:rPr>
          <w:noProof/>
        </w:rPr>
        <w:t>3</w:t>
      </w:r>
      <w:r w:rsidRPr="00AF23E4">
        <w:fldChar w:fldCharType="end"/>
      </w:r>
      <w:r w:rsidRPr="00AF23E4">
        <w:t>.</w:t>
      </w:r>
    </w:p>
    <w:p w14:paraId="60A05EA9" w14:textId="48F93906" w:rsidR="00C05E57" w:rsidRPr="00AF23E4" w:rsidRDefault="00C05E57" w:rsidP="00C05E57">
      <w:pPr>
        <w:pStyle w:val="Caption"/>
      </w:pPr>
      <w:bookmarkStart w:id="4" w:name="_Ref86138100"/>
      <w:r w:rsidRPr="00AF23E4">
        <w:t xml:space="preserve">Table </w:t>
      </w:r>
      <w:r w:rsidR="005D5FDF">
        <w:fldChar w:fldCharType="begin"/>
      </w:r>
      <w:r w:rsidR="005D5FDF">
        <w:instrText xml:space="preserve"> STYLEREF 1 \s </w:instrText>
      </w:r>
      <w:r w:rsidR="005D5FDF">
        <w:fldChar w:fldCharType="separate"/>
      </w:r>
      <w:r w:rsidR="001E08D9" w:rsidRPr="00AF23E4">
        <w:rPr>
          <w:noProof/>
        </w:rPr>
        <w:t>2</w:t>
      </w:r>
      <w:r w:rsidR="005D5FDF">
        <w:rPr>
          <w:noProof/>
        </w:rPr>
        <w:fldChar w:fldCharType="end"/>
      </w:r>
      <w:r w:rsidRPr="00AF23E4">
        <w:noBreakHyphen/>
      </w:r>
      <w:r w:rsidR="005D5FDF">
        <w:fldChar w:fldCharType="begin"/>
      </w:r>
      <w:r w:rsidR="005D5FDF">
        <w:instrText xml:space="preserve"> SEQ Table \* ARABIC \s 1 </w:instrText>
      </w:r>
      <w:r w:rsidR="005D5FDF">
        <w:fldChar w:fldCharType="separate"/>
      </w:r>
      <w:r w:rsidR="001E08D9" w:rsidRPr="00AF23E4">
        <w:rPr>
          <w:noProof/>
        </w:rPr>
        <w:t>3</w:t>
      </w:r>
      <w:r w:rsidR="005D5FDF">
        <w:rPr>
          <w:noProof/>
        </w:rPr>
        <w:fldChar w:fldCharType="end"/>
      </w:r>
      <w:bookmarkEnd w:id="4"/>
      <w:r w:rsidRPr="00AF23E4">
        <w:t>: Data sources for disposal method data.</w:t>
      </w:r>
    </w:p>
    <w:tbl>
      <w:tblPr>
        <w:tblStyle w:val="Eunomia-NoTotals"/>
        <w:tblW w:w="0" w:type="auto"/>
        <w:tblLayout w:type="fixed"/>
        <w:tblLook w:val="04A0" w:firstRow="1" w:lastRow="0" w:firstColumn="1" w:lastColumn="0" w:noHBand="0" w:noVBand="1"/>
      </w:tblPr>
      <w:tblGrid>
        <w:gridCol w:w="1555"/>
        <w:gridCol w:w="1417"/>
        <w:gridCol w:w="1417"/>
        <w:gridCol w:w="1418"/>
        <w:gridCol w:w="3209"/>
      </w:tblGrid>
      <w:tr w:rsidR="00C05E57" w:rsidRPr="00AF23E4" w14:paraId="25CF168A" w14:textId="77777777" w:rsidTr="0029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035C5D21" w14:textId="77777777" w:rsidR="00C05E57" w:rsidRPr="00AF23E4" w:rsidRDefault="00C05E57" w:rsidP="002958DD">
            <w:r w:rsidRPr="00AF23E4">
              <w:t>Region / Country</w:t>
            </w:r>
          </w:p>
        </w:tc>
        <w:tc>
          <w:tcPr>
            <w:tcW w:w="4252" w:type="dxa"/>
            <w:gridSpan w:val="3"/>
          </w:tcPr>
          <w:p w14:paraId="096D6567"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Disposal Method</w:t>
            </w:r>
          </w:p>
        </w:tc>
        <w:tc>
          <w:tcPr>
            <w:tcW w:w="3209" w:type="dxa"/>
            <w:vMerge w:val="restart"/>
          </w:tcPr>
          <w:p w14:paraId="44D7CC8D"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Data Source</w:t>
            </w:r>
          </w:p>
        </w:tc>
      </w:tr>
      <w:tr w:rsidR="00C05E57" w:rsidRPr="00AF23E4" w14:paraId="7D8807B9" w14:textId="77777777" w:rsidTr="002958DD">
        <w:tc>
          <w:tcPr>
            <w:cnfStyle w:val="001000000000" w:firstRow="0" w:lastRow="0" w:firstColumn="1" w:lastColumn="0" w:oddVBand="0" w:evenVBand="0" w:oddHBand="0" w:evenHBand="0" w:firstRowFirstColumn="0" w:firstRowLastColumn="0" w:lastRowFirstColumn="0" w:lastRowLastColumn="0"/>
            <w:tcW w:w="1555" w:type="dxa"/>
            <w:vMerge/>
          </w:tcPr>
          <w:p w14:paraId="14A07365" w14:textId="77777777" w:rsidR="00C05E57" w:rsidRPr="00AF23E4" w:rsidRDefault="00C05E57" w:rsidP="002958DD"/>
        </w:tc>
        <w:tc>
          <w:tcPr>
            <w:tcW w:w="1417" w:type="dxa"/>
            <w:shd w:val="clear" w:color="auto" w:fill="F2F2F2" w:themeFill="background1" w:themeFillShade="F2"/>
          </w:tcPr>
          <w:p w14:paraId="6A779333"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Landfill</w:t>
            </w:r>
          </w:p>
        </w:tc>
        <w:tc>
          <w:tcPr>
            <w:tcW w:w="1417" w:type="dxa"/>
            <w:shd w:val="clear" w:color="auto" w:fill="F2F2F2" w:themeFill="background1" w:themeFillShade="F2"/>
          </w:tcPr>
          <w:p w14:paraId="0856FD7F"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Incineration</w:t>
            </w:r>
          </w:p>
        </w:tc>
        <w:tc>
          <w:tcPr>
            <w:tcW w:w="1418" w:type="dxa"/>
            <w:shd w:val="clear" w:color="auto" w:fill="F2F2F2" w:themeFill="background1" w:themeFillShade="F2"/>
          </w:tcPr>
          <w:p w14:paraId="0C47AF2E"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Other</w:t>
            </w:r>
          </w:p>
        </w:tc>
        <w:tc>
          <w:tcPr>
            <w:tcW w:w="3209" w:type="dxa"/>
            <w:vMerge/>
            <w:shd w:val="clear" w:color="auto" w:fill="F2F2F2" w:themeFill="background1" w:themeFillShade="F2"/>
          </w:tcPr>
          <w:p w14:paraId="35183A79"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r>
      <w:tr w:rsidR="00C05E57" w:rsidRPr="00AF23E4" w14:paraId="49610BF9" w14:textId="77777777" w:rsidTr="002958DD">
        <w:tc>
          <w:tcPr>
            <w:cnfStyle w:val="001000000000" w:firstRow="0" w:lastRow="0" w:firstColumn="1" w:lastColumn="0" w:oddVBand="0" w:evenVBand="0" w:oddHBand="0" w:evenHBand="0" w:firstRowFirstColumn="0" w:firstRowLastColumn="0" w:lastRowFirstColumn="0" w:lastRowLastColumn="0"/>
            <w:tcW w:w="1555" w:type="dxa"/>
          </w:tcPr>
          <w:p w14:paraId="669D4741" w14:textId="77777777" w:rsidR="00C05E57" w:rsidRPr="00AF23E4" w:rsidRDefault="00C05E57" w:rsidP="002958DD">
            <w:r w:rsidRPr="00AF23E4">
              <w:t>Europe (average)</w:t>
            </w:r>
          </w:p>
        </w:tc>
        <w:tc>
          <w:tcPr>
            <w:tcW w:w="1417" w:type="dxa"/>
          </w:tcPr>
          <w:p w14:paraId="3AC37CFA"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75.2%</w:t>
            </w:r>
          </w:p>
        </w:tc>
        <w:tc>
          <w:tcPr>
            <w:tcW w:w="1417" w:type="dxa"/>
          </w:tcPr>
          <w:p w14:paraId="789E6007"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14.7%</w:t>
            </w:r>
          </w:p>
        </w:tc>
        <w:tc>
          <w:tcPr>
            <w:tcW w:w="1418" w:type="dxa"/>
          </w:tcPr>
          <w:p w14:paraId="6ED6EB3F"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10.1%</w:t>
            </w:r>
          </w:p>
        </w:tc>
        <w:tc>
          <w:tcPr>
            <w:tcW w:w="3209" w:type="dxa"/>
          </w:tcPr>
          <w:p w14:paraId="460BAFB8"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Eurostat</w:t>
            </w:r>
            <w:r w:rsidRPr="00AF23E4">
              <w:rPr>
                <w:rStyle w:val="FootnoteReference"/>
              </w:rPr>
              <w:footnoteReference w:id="17"/>
            </w:r>
          </w:p>
        </w:tc>
      </w:tr>
      <w:tr w:rsidR="00C05E57" w:rsidRPr="00AF23E4" w14:paraId="494049AB" w14:textId="77777777" w:rsidTr="002958DD">
        <w:tc>
          <w:tcPr>
            <w:cnfStyle w:val="001000000000" w:firstRow="0" w:lastRow="0" w:firstColumn="1" w:lastColumn="0" w:oddVBand="0" w:evenVBand="0" w:oddHBand="0" w:evenHBand="0" w:firstRowFirstColumn="0" w:firstRowLastColumn="0" w:lastRowFirstColumn="0" w:lastRowLastColumn="0"/>
            <w:tcW w:w="1555" w:type="dxa"/>
          </w:tcPr>
          <w:p w14:paraId="2B15190A" w14:textId="77777777" w:rsidR="00C05E57" w:rsidRPr="00AF23E4" w:rsidRDefault="00C05E57" w:rsidP="002958DD">
            <w:r w:rsidRPr="00AF23E4">
              <w:t>USA</w:t>
            </w:r>
          </w:p>
        </w:tc>
        <w:tc>
          <w:tcPr>
            <w:tcW w:w="1417" w:type="dxa"/>
          </w:tcPr>
          <w:p w14:paraId="636E5658" w14:textId="21B10F25" w:rsidR="00C05E57" w:rsidRPr="00AF23E4" w:rsidRDefault="005F5F46" w:rsidP="002958DD">
            <w:pPr>
              <w:cnfStyle w:val="000000000000" w:firstRow="0" w:lastRow="0" w:firstColumn="0" w:lastColumn="0" w:oddVBand="0" w:evenVBand="0" w:oddHBand="0" w:evenHBand="0" w:firstRowFirstColumn="0" w:firstRowLastColumn="0" w:lastRowFirstColumn="0" w:lastRowLastColumn="0"/>
            </w:pPr>
            <w:r w:rsidRPr="00AF23E4">
              <w:t>80</w:t>
            </w:r>
            <w:r w:rsidR="00C05E57" w:rsidRPr="00AF23E4">
              <w:t>.9%</w:t>
            </w:r>
          </w:p>
        </w:tc>
        <w:tc>
          <w:tcPr>
            <w:tcW w:w="1417" w:type="dxa"/>
          </w:tcPr>
          <w:p w14:paraId="1AF35346"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19.1%</w:t>
            </w:r>
          </w:p>
        </w:tc>
        <w:tc>
          <w:tcPr>
            <w:tcW w:w="1418" w:type="dxa"/>
          </w:tcPr>
          <w:p w14:paraId="03CE6E17"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w:t>
            </w:r>
          </w:p>
        </w:tc>
        <w:tc>
          <w:tcPr>
            <w:tcW w:w="3209" w:type="dxa"/>
          </w:tcPr>
          <w:p w14:paraId="21620AAD"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Environmental Protection Agency</w:t>
            </w:r>
            <w:r w:rsidRPr="00AF23E4">
              <w:rPr>
                <w:rStyle w:val="FootnoteReference"/>
              </w:rPr>
              <w:footnoteReference w:id="18"/>
            </w:r>
          </w:p>
        </w:tc>
      </w:tr>
      <w:tr w:rsidR="00C05E57" w:rsidRPr="00AF23E4" w14:paraId="400D817D" w14:textId="77777777" w:rsidTr="002958DD">
        <w:tc>
          <w:tcPr>
            <w:cnfStyle w:val="001000000000" w:firstRow="0" w:lastRow="0" w:firstColumn="1" w:lastColumn="0" w:oddVBand="0" w:evenVBand="0" w:oddHBand="0" w:evenHBand="0" w:firstRowFirstColumn="0" w:firstRowLastColumn="0" w:lastRowFirstColumn="0" w:lastRowLastColumn="0"/>
            <w:tcW w:w="1555" w:type="dxa"/>
          </w:tcPr>
          <w:p w14:paraId="4256EF27" w14:textId="77777777" w:rsidR="00C05E57" w:rsidRPr="00AF23E4" w:rsidRDefault="00C05E57" w:rsidP="002958DD">
            <w:r w:rsidRPr="00AF23E4">
              <w:t>Japan</w:t>
            </w:r>
          </w:p>
        </w:tc>
        <w:tc>
          <w:tcPr>
            <w:tcW w:w="1417" w:type="dxa"/>
          </w:tcPr>
          <w:p w14:paraId="1C217054"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98.1%</w:t>
            </w:r>
          </w:p>
        </w:tc>
        <w:tc>
          <w:tcPr>
            <w:tcW w:w="1417" w:type="dxa"/>
          </w:tcPr>
          <w:p w14:paraId="49DF1318"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1.9%</w:t>
            </w:r>
          </w:p>
        </w:tc>
        <w:tc>
          <w:tcPr>
            <w:tcW w:w="1418" w:type="dxa"/>
          </w:tcPr>
          <w:p w14:paraId="0DEC4BA0"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w:t>
            </w:r>
          </w:p>
        </w:tc>
        <w:tc>
          <w:tcPr>
            <w:tcW w:w="3209" w:type="dxa"/>
          </w:tcPr>
          <w:p w14:paraId="3D1DECAD"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Sakai (1996)</w:t>
            </w:r>
            <w:r w:rsidRPr="00AF23E4">
              <w:rPr>
                <w:rStyle w:val="FootnoteReference"/>
              </w:rPr>
              <w:footnoteReference w:id="19"/>
            </w:r>
            <w:r w:rsidRPr="00AF23E4">
              <w:t>, Tanaka (1999)</w:t>
            </w:r>
            <w:r w:rsidRPr="00AF23E4">
              <w:rPr>
                <w:rStyle w:val="FootnoteReference"/>
              </w:rPr>
              <w:footnoteReference w:id="20"/>
            </w:r>
            <w:r w:rsidRPr="00AF23E4">
              <w:t xml:space="preserve">, </w:t>
            </w:r>
            <w:proofErr w:type="spellStart"/>
            <w:r w:rsidRPr="00AF23E4">
              <w:t>Niyati</w:t>
            </w:r>
            <w:proofErr w:type="spellEnd"/>
            <w:r w:rsidRPr="00AF23E4">
              <w:t xml:space="preserve"> (2015)</w:t>
            </w:r>
            <w:r w:rsidRPr="00AF23E4">
              <w:rPr>
                <w:rStyle w:val="FootnoteReference"/>
              </w:rPr>
              <w:footnoteReference w:id="21"/>
            </w:r>
          </w:p>
        </w:tc>
      </w:tr>
      <w:tr w:rsidR="00C05E57" w:rsidRPr="00AF23E4" w14:paraId="5B77C8F6" w14:textId="77777777" w:rsidTr="002958DD">
        <w:tc>
          <w:tcPr>
            <w:cnfStyle w:val="001000000000" w:firstRow="0" w:lastRow="0" w:firstColumn="1" w:lastColumn="0" w:oddVBand="0" w:evenVBand="0" w:oddHBand="0" w:evenHBand="0" w:firstRowFirstColumn="0" w:firstRowLastColumn="0" w:lastRowFirstColumn="0" w:lastRowLastColumn="0"/>
            <w:tcW w:w="1555" w:type="dxa"/>
          </w:tcPr>
          <w:p w14:paraId="612D6DAD" w14:textId="77777777" w:rsidR="00C05E57" w:rsidRPr="00AF23E4" w:rsidRDefault="00C05E57" w:rsidP="002958DD">
            <w:r w:rsidRPr="00AF23E4">
              <w:t>Brazil</w:t>
            </w:r>
          </w:p>
        </w:tc>
        <w:tc>
          <w:tcPr>
            <w:tcW w:w="1417" w:type="dxa"/>
          </w:tcPr>
          <w:p w14:paraId="26D57AD0"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100.0%</w:t>
            </w:r>
          </w:p>
        </w:tc>
        <w:tc>
          <w:tcPr>
            <w:tcW w:w="1417" w:type="dxa"/>
          </w:tcPr>
          <w:p w14:paraId="66D545CB"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w:t>
            </w:r>
          </w:p>
        </w:tc>
        <w:tc>
          <w:tcPr>
            <w:tcW w:w="1418" w:type="dxa"/>
          </w:tcPr>
          <w:p w14:paraId="1EE35A7C"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w:t>
            </w:r>
          </w:p>
        </w:tc>
        <w:tc>
          <w:tcPr>
            <w:tcW w:w="3209" w:type="dxa"/>
          </w:tcPr>
          <w:p w14:paraId="13130371"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roofErr w:type="spellStart"/>
            <w:r w:rsidRPr="00AF23E4">
              <w:t>Alfaia</w:t>
            </w:r>
            <w:proofErr w:type="spellEnd"/>
            <w:r w:rsidRPr="00AF23E4">
              <w:t xml:space="preserve"> et al. (2017)</w:t>
            </w:r>
            <w:r w:rsidRPr="00AF23E4">
              <w:rPr>
                <w:rStyle w:val="FootnoteReference"/>
              </w:rPr>
              <w:footnoteReference w:id="22"/>
            </w:r>
          </w:p>
        </w:tc>
      </w:tr>
      <w:tr w:rsidR="00C05E57" w:rsidRPr="00AF23E4" w14:paraId="6317763F" w14:textId="77777777" w:rsidTr="002958DD">
        <w:tc>
          <w:tcPr>
            <w:cnfStyle w:val="001000000000" w:firstRow="0" w:lastRow="0" w:firstColumn="1" w:lastColumn="0" w:oddVBand="0" w:evenVBand="0" w:oddHBand="0" w:evenHBand="0" w:firstRowFirstColumn="0" w:firstRowLastColumn="0" w:lastRowFirstColumn="0" w:lastRowLastColumn="0"/>
            <w:tcW w:w="1555" w:type="dxa"/>
          </w:tcPr>
          <w:p w14:paraId="1D656713" w14:textId="77777777" w:rsidR="00C05E57" w:rsidRPr="00AF23E4" w:rsidRDefault="00C05E57" w:rsidP="002958DD">
            <w:r w:rsidRPr="00AF23E4">
              <w:t>China</w:t>
            </w:r>
          </w:p>
        </w:tc>
        <w:tc>
          <w:tcPr>
            <w:tcW w:w="1417" w:type="dxa"/>
          </w:tcPr>
          <w:p w14:paraId="56301858"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55.0%</w:t>
            </w:r>
          </w:p>
        </w:tc>
        <w:tc>
          <w:tcPr>
            <w:tcW w:w="1417" w:type="dxa"/>
          </w:tcPr>
          <w:p w14:paraId="0E22DD03"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45.0%</w:t>
            </w:r>
          </w:p>
        </w:tc>
        <w:tc>
          <w:tcPr>
            <w:tcW w:w="1418" w:type="dxa"/>
          </w:tcPr>
          <w:p w14:paraId="6A8564EC"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w:t>
            </w:r>
          </w:p>
        </w:tc>
        <w:tc>
          <w:tcPr>
            <w:tcW w:w="3209" w:type="dxa"/>
          </w:tcPr>
          <w:p w14:paraId="1A7DB1B7"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Lee et al. (2020)</w:t>
            </w:r>
            <w:r w:rsidRPr="00AF23E4">
              <w:rPr>
                <w:rStyle w:val="FootnoteReference"/>
              </w:rPr>
              <w:footnoteReference w:id="23"/>
            </w:r>
          </w:p>
        </w:tc>
      </w:tr>
    </w:tbl>
    <w:p w14:paraId="162034A4" w14:textId="6651B308" w:rsidR="00C05E57" w:rsidRPr="00AF23E4" w:rsidRDefault="00C05E57" w:rsidP="00C05E57"/>
    <w:p w14:paraId="6C9044AD" w14:textId="77777777" w:rsidR="00C05E57" w:rsidRPr="00AF23E4" w:rsidRDefault="00C05E57" w:rsidP="00C05E57">
      <w:r w:rsidRPr="00AF23E4">
        <w:t xml:space="preserve">For aluminium cans, the recovery of aluminium from incinerator bottom ash (IBA) was also considered. The mass recovered from IBA (3.0% of total incinerated tonnage) is included </w:t>
      </w:r>
      <w:r w:rsidRPr="00AF23E4">
        <w:lastRenderedPageBreak/>
        <w:t>within open-loop recycling. It is categorised as recyclable, as its next use is often casting alloys in the automotive industry</w:t>
      </w:r>
      <w:r w:rsidRPr="00AF23E4">
        <w:rPr>
          <w:rStyle w:val="FootnoteReference"/>
        </w:rPr>
        <w:footnoteReference w:id="24"/>
      </w:r>
      <w:r w:rsidRPr="00AF23E4">
        <w:t>.</w:t>
      </w:r>
    </w:p>
    <w:p w14:paraId="3A532779" w14:textId="77777777" w:rsidR="00C05E57" w:rsidRPr="00AF23E4" w:rsidRDefault="00C05E57" w:rsidP="00397208">
      <w:pPr>
        <w:pStyle w:val="Heading2"/>
      </w:pPr>
      <w:bookmarkStart w:id="5" w:name="_Ref86143138"/>
      <w:r w:rsidRPr="00AF23E4">
        <w:t>Sorting data</w:t>
      </w:r>
      <w:bookmarkEnd w:id="5"/>
    </w:p>
    <w:p w14:paraId="231E284C" w14:textId="5CA5CBC6" w:rsidR="00C05E57" w:rsidRPr="00AF23E4" w:rsidRDefault="00C05E57" w:rsidP="00C05E57">
      <w:r w:rsidRPr="00AF23E4">
        <w:t xml:space="preserve">Following collection, material is then sorted to remove product residues, non-target material and other forms of contamination. For PET and glass beverage containers, there is also a colour sorting stage so that the recycled material is of a sufficient quality. These material losses during sorting are then disposed of via incineration or landfill. </w:t>
      </w:r>
      <w:r w:rsidRPr="00AF23E4">
        <w:fldChar w:fldCharType="begin"/>
      </w:r>
      <w:r w:rsidRPr="00AF23E4">
        <w:instrText xml:space="preserve"> REF _Ref83812856 \h </w:instrText>
      </w:r>
      <w:r w:rsidR="00AF23E4">
        <w:instrText xml:space="preserve"> \* MERGEFORMAT </w:instrText>
      </w:r>
      <w:r w:rsidRPr="00AF23E4">
        <w:fldChar w:fldCharType="separate"/>
      </w:r>
      <w:r w:rsidR="001E08D9" w:rsidRPr="00AF23E4">
        <w:t xml:space="preserve">Table </w:t>
      </w:r>
      <w:r w:rsidR="001E08D9" w:rsidRPr="00AF23E4">
        <w:rPr>
          <w:noProof/>
        </w:rPr>
        <w:t>2</w:t>
      </w:r>
      <w:r w:rsidR="001E08D9" w:rsidRPr="00AF23E4">
        <w:noBreakHyphen/>
      </w:r>
      <w:r w:rsidR="001E08D9" w:rsidRPr="00AF23E4">
        <w:rPr>
          <w:noProof/>
        </w:rPr>
        <w:t>4</w:t>
      </w:r>
      <w:r w:rsidRPr="00AF23E4">
        <w:fldChar w:fldCharType="end"/>
      </w:r>
      <w:r w:rsidRPr="00AF23E4">
        <w:t xml:space="preserve"> shows the data sources used to determine sorting efficiencies within the model. It should be noted that the type of sorting losses</w:t>
      </w:r>
      <w:r w:rsidR="006D67E3" w:rsidRPr="00AF23E4">
        <w:t xml:space="preserve"> (contamination, non-target material</w:t>
      </w:r>
      <w:r w:rsidR="00D7648B" w:rsidRPr="00AF23E4">
        <w:t xml:space="preserve"> or colour sorting)</w:t>
      </w:r>
      <w:r w:rsidRPr="00AF23E4">
        <w:t xml:space="preserve"> for all material types in Japan are not specified</w:t>
      </w:r>
      <w:r w:rsidR="00D7648B" w:rsidRPr="00AF23E4">
        <w:t>. In the absence of sorting</w:t>
      </w:r>
      <w:r w:rsidR="009942CB" w:rsidRPr="00AF23E4">
        <w:t xml:space="preserve"> data in Japan</w:t>
      </w:r>
      <w:proofErr w:type="gramStart"/>
      <w:r w:rsidR="009942CB" w:rsidRPr="00AF23E4">
        <w:t xml:space="preserve">, </w:t>
      </w:r>
      <w:r w:rsidRPr="00AF23E4">
        <w:t>.</w:t>
      </w:r>
      <w:proofErr w:type="gramEnd"/>
      <w:r w:rsidRPr="00AF23E4">
        <w:t xml:space="preserve"> The figures shown are derivations based on the mass flows provided by each of the organisations stated below. </w:t>
      </w:r>
    </w:p>
    <w:p w14:paraId="56FCAF32" w14:textId="26348B0C" w:rsidR="00C05E57" w:rsidRPr="00AF23E4" w:rsidRDefault="00C05E57" w:rsidP="00C05E57">
      <w:pPr>
        <w:pStyle w:val="Caption"/>
      </w:pPr>
      <w:bookmarkStart w:id="6" w:name="_Ref83812856"/>
      <w:r w:rsidRPr="00AF23E4">
        <w:t xml:space="preserve">Table </w:t>
      </w:r>
      <w:r w:rsidR="005D5FDF">
        <w:fldChar w:fldCharType="begin"/>
      </w:r>
      <w:r w:rsidR="005D5FDF">
        <w:instrText xml:space="preserve"> STYLEREF 1 \s </w:instrText>
      </w:r>
      <w:r w:rsidR="005D5FDF">
        <w:fldChar w:fldCharType="separate"/>
      </w:r>
      <w:r w:rsidR="001E08D9" w:rsidRPr="00AF23E4">
        <w:rPr>
          <w:noProof/>
        </w:rPr>
        <w:t>2</w:t>
      </w:r>
      <w:r w:rsidR="005D5FDF">
        <w:rPr>
          <w:noProof/>
        </w:rPr>
        <w:fldChar w:fldCharType="end"/>
      </w:r>
      <w:r w:rsidRPr="00AF23E4">
        <w:noBreakHyphen/>
      </w:r>
      <w:r w:rsidR="005D5FDF">
        <w:fldChar w:fldCharType="begin"/>
      </w:r>
      <w:r w:rsidR="005D5FDF">
        <w:instrText xml:space="preserve"> SEQ Table \* ARABIC \s 1 </w:instrText>
      </w:r>
      <w:r w:rsidR="005D5FDF">
        <w:fldChar w:fldCharType="separate"/>
      </w:r>
      <w:r w:rsidR="001E08D9" w:rsidRPr="00AF23E4">
        <w:rPr>
          <w:noProof/>
        </w:rPr>
        <w:t>4</w:t>
      </w:r>
      <w:r w:rsidR="005D5FDF">
        <w:rPr>
          <w:noProof/>
        </w:rPr>
        <w:fldChar w:fldCharType="end"/>
      </w:r>
      <w:bookmarkEnd w:id="6"/>
      <w:r w:rsidRPr="00AF23E4">
        <w:t>: Data sources for sorting data.</w:t>
      </w:r>
    </w:p>
    <w:tbl>
      <w:tblPr>
        <w:tblStyle w:val="Eunomia-Totals"/>
        <w:tblW w:w="9074" w:type="dxa"/>
        <w:tblLook w:val="04A0" w:firstRow="1" w:lastRow="0" w:firstColumn="1" w:lastColumn="0" w:noHBand="0" w:noVBand="1"/>
      </w:tblPr>
      <w:tblGrid>
        <w:gridCol w:w="1307"/>
        <w:gridCol w:w="1457"/>
        <w:gridCol w:w="1795"/>
        <w:gridCol w:w="1571"/>
        <w:gridCol w:w="2944"/>
      </w:tblGrid>
      <w:tr w:rsidR="00C05E57" w:rsidRPr="00AF23E4" w14:paraId="789BD299" w14:textId="77777777" w:rsidTr="00C359BF">
        <w:trPr>
          <w:cnfStyle w:val="100000000000" w:firstRow="1" w:lastRow="0" w:firstColumn="0" w:lastColumn="0" w:oddVBand="0" w:evenVBand="0" w:oddHBand="0"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1307" w:type="dxa"/>
          </w:tcPr>
          <w:p w14:paraId="36D9E4DC" w14:textId="77777777" w:rsidR="00C05E57" w:rsidRPr="00AF23E4" w:rsidRDefault="00C05E57" w:rsidP="002958DD">
            <w:r w:rsidRPr="00AF23E4">
              <w:t>Region / Country</w:t>
            </w:r>
          </w:p>
        </w:tc>
        <w:tc>
          <w:tcPr>
            <w:tcW w:w="1457" w:type="dxa"/>
          </w:tcPr>
          <w:p w14:paraId="602DA1A3"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Material Type</w:t>
            </w:r>
          </w:p>
        </w:tc>
        <w:tc>
          <w:tcPr>
            <w:tcW w:w="1795" w:type="dxa"/>
          </w:tcPr>
          <w:p w14:paraId="519EE2A0"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Sorting type</w:t>
            </w:r>
          </w:p>
        </w:tc>
        <w:tc>
          <w:tcPr>
            <w:tcW w:w="1570" w:type="dxa"/>
          </w:tcPr>
          <w:p w14:paraId="5768E9FE"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Losses (%)</w:t>
            </w:r>
          </w:p>
        </w:tc>
        <w:tc>
          <w:tcPr>
            <w:tcW w:w="2944" w:type="dxa"/>
          </w:tcPr>
          <w:p w14:paraId="6EE59541"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Data Source</w:t>
            </w:r>
          </w:p>
        </w:tc>
      </w:tr>
      <w:tr w:rsidR="00C05E57" w:rsidRPr="00AF23E4" w14:paraId="0F1518DA" w14:textId="77777777" w:rsidTr="00C359BF">
        <w:trPr>
          <w:trHeight w:val="748"/>
        </w:trPr>
        <w:tc>
          <w:tcPr>
            <w:cnfStyle w:val="001000000000" w:firstRow="0" w:lastRow="0" w:firstColumn="1" w:lastColumn="0" w:oddVBand="0" w:evenVBand="0" w:oddHBand="0" w:evenHBand="0" w:firstRowFirstColumn="0" w:firstRowLastColumn="0" w:lastRowFirstColumn="0" w:lastRowLastColumn="0"/>
            <w:tcW w:w="1307" w:type="dxa"/>
            <w:vMerge w:val="restart"/>
          </w:tcPr>
          <w:p w14:paraId="0CEB3EAE" w14:textId="77777777" w:rsidR="00C05E57" w:rsidRPr="00AF23E4" w:rsidRDefault="00C05E57" w:rsidP="00C359BF">
            <w:pPr>
              <w:spacing w:after="0"/>
            </w:pPr>
            <w:r w:rsidRPr="00AF23E4">
              <w:t>Europe</w:t>
            </w:r>
          </w:p>
        </w:tc>
        <w:tc>
          <w:tcPr>
            <w:tcW w:w="1457" w:type="dxa"/>
          </w:tcPr>
          <w:p w14:paraId="37D05FDF"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Aluminium</w:t>
            </w:r>
          </w:p>
        </w:tc>
        <w:tc>
          <w:tcPr>
            <w:tcW w:w="1795" w:type="dxa"/>
          </w:tcPr>
          <w:p w14:paraId="4FFAAC80"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Non-target material</w:t>
            </w:r>
          </w:p>
        </w:tc>
        <w:tc>
          <w:tcPr>
            <w:tcW w:w="1570" w:type="dxa"/>
          </w:tcPr>
          <w:p w14:paraId="5EB89712"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1.0%</w:t>
            </w:r>
          </w:p>
        </w:tc>
        <w:tc>
          <w:tcPr>
            <w:tcW w:w="2944" w:type="dxa"/>
          </w:tcPr>
          <w:p w14:paraId="6A886EF2" w14:textId="43494F68" w:rsidR="00C05E57" w:rsidRPr="00AF23E4" w:rsidRDefault="00F93AF8" w:rsidP="00C359BF">
            <w:pPr>
              <w:spacing w:after="0"/>
              <w:cnfStyle w:val="000000000000" w:firstRow="0" w:lastRow="0" w:firstColumn="0" w:lastColumn="0" w:oddVBand="0" w:evenVBand="0" w:oddHBand="0" w:evenHBand="0" w:firstRowFirstColumn="0" w:firstRowLastColumn="0" w:lastRowFirstColumn="0" w:lastRowLastColumn="0"/>
            </w:pPr>
            <w:r w:rsidRPr="00AF23E4">
              <w:t>Industry</w:t>
            </w:r>
            <w:r w:rsidR="00C05E57" w:rsidRPr="00AF23E4">
              <w:t xml:space="preserve"> interviews </w:t>
            </w:r>
          </w:p>
        </w:tc>
      </w:tr>
      <w:tr w:rsidR="00C05E57" w:rsidRPr="00AF23E4" w14:paraId="05B6D09A" w14:textId="77777777" w:rsidTr="00C359BF">
        <w:trPr>
          <w:trHeight w:val="471"/>
        </w:trPr>
        <w:tc>
          <w:tcPr>
            <w:cnfStyle w:val="001000000000" w:firstRow="0" w:lastRow="0" w:firstColumn="1" w:lastColumn="0" w:oddVBand="0" w:evenVBand="0" w:oddHBand="0" w:evenHBand="0" w:firstRowFirstColumn="0" w:firstRowLastColumn="0" w:lastRowFirstColumn="0" w:lastRowLastColumn="0"/>
            <w:tcW w:w="1307" w:type="dxa"/>
            <w:vMerge/>
          </w:tcPr>
          <w:p w14:paraId="37671BFE" w14:textId="77777777" w:rsidR="00C05E57" w:rsidRPr="00AF23E4" w:rsidRDefault="00C05E57" w:rsidP="00C359BF">
            <w:pPr>
              <w:spacing w:after="0"/>
            </w:pPr>
          </w:p>
        </w:tc>
        <w:tc>
          <w:tcPr>
            <w:tcW w:w="1457" w:type="dxa"/>
          </w:tcPr>
          <w:p w14:paraId="09A9ACFA"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PET</w:t>
            </w:r>
          </w:p>
        </w:tc>
        <w:tc>
          <w:tcPr>
            <w:tcW w:w="1795" w:type="dxa"/>
          </w:tcPr>
          <w:p w14:paraId="4D5DB428"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Colour sorting</w:t>
            </w:r>
          </w:p>
        </w:tc>
        <w:tc>
          <w:tcPr>
            <w:tcW w:w="1570" w:type="dxa"/>
          </w:tcPr>
          <w:p w14:paraId="1ED54B5C"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10.0%</w:t>
            </w:r>
          </w:p>
        </w:tc>
        <w:tc>
          <w:tcPr>
            <w:tcW w:w="2944" w:type="dxa"/>
          </w:tcPr>
          <w:p w14:paraId="77B8C051" w14:textId="19F6993B" w:rsidR="00C05E57" w:rsidRPr="00AF23E4" w:rsidRDefault="00F93AF8" w:rsidP="00C359BF">
            <w:pPr>
              <w:spacing w:after="0"/>
              <w:cnfStyle w:val="000000000000" w:firstRow="0" w:lastRow="0" w:firstColumn="0" w:lastColumn="0" w:oddVBand="0" w:evenVBand="0" w:oddHBand="0" w:evenHBand="0" w:firstRowFirstColumn="0" w:firstRowLastColumn="0" w:lastRowFirstColumn="0" w:lastRowLastColumn="0"/>
            </w:pPr>
            <w:r w:rsidRPr="00AF23E4">
              <w:t>Industry</w:t>
            </w:r>
            <w:r w:rsidR="00C05E57" w:rsidRPr="00AF23E4">
              <w:t xml:space="preserve"> interviews</w:t>
            </w:r>
          </w:p>
        </w:tc>
      </w:tr>
      <w:tr w:rsidR="00C05E57" w:rsidRPr="00AF23E4" w14:paraId="0C16AEA5" w14:textId="77777777" w:rsidTr="00C359BF">
        <w:trPr>
          <w:trHeight w:val="735"/>
        </w:trPr>
        <w:tc>
          <w:tcPr>
            <w:cnfStyle w:val="001000000000" w:firstRow="0" w:lastRow="0" w:firstColumn="1" w:lastColumn="0" w:oddVBand="0" w:evenVBand="0" w:oddHBand="0" w:evenHBand="0" w:firstRowFirstColumn="0" w:firstRowLastColumn="0" w:lastRowFirstColumn="0" w:lastRowLastColumn="0"/>
            <w:tcW w:w="1307" w:type="dxa"/>
            <w:vMerge/>
          </w:tcPr>
          <w:p w14:paraId="516D4A15" w14:textId="77777777" w:rsidR="00C05E57" w:rsidRPr="00AF23E4" w:rsidRDefault="00C05E57" w:rsidP="00C359BF">
            <w:pPr>
              <w:spacing w:after="0"/>
            </w:pPr>
          </w:p>
        </w:tc>
        <w:tc>
          <w:tcPr>
            <w:tcW w:w="1457" w:type="dxa"/>
            <w:vMerge w:val="restart"/>
          </w:tcPr>
          <w:p w14:paraId="68BFF2ED"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Glass</w:t>
            </w:r>
          </w:p>
        </w:tc>
        <w:tc>
          <w:tcPr>
            <w:tcW w:w="1795" w:type="dxa"/>
          </w:tcPr>
          <w:p w14:paraId="26D74C22"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Colour sorting</w:t>
            </w:r>
          </w:p>
        </w:tc>
        <w:tc>
          <w:tcPr>
            <w:tcW w:w="1570" w:type="dxa"/>
          </w:tcPr>
          <w:p w14:paraId="2C908C9E"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15.0%</w:t>
            </w:r>
          </w:p>
        </w:tc>
        <w:tc>
          <w:tcPr>
            <w:tcW w:w="2944" w:type="dxa"/>
          </w:tcPr>
          <w:p w14:paraId="406F6230"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Zero Waste Scotland (2012)</w:t>
            </w:r>
            <w:r w:rsidRPr="00AF23E4">
              <w:rPr>
                <w:rStyle w:val="FootnoteReference"/>
              </w:rPr>
              <w:footnoteReference w:id="25"/>
            </w:r>
          </w:p>
        </w:tc>
      </w:tr>
      <w:tr w:rsidR="00C05E57" w:rsidRPr="00AF23E4" w14:paraId="4B57AF7C" w14:textId="77777777" w:rsidTr="00C359BF">
        <w:trPr>
          <w:trHeight w:val="735"/>
        </w:trPr>
        <w:tc>
          <w:tcPr>
            <w:cnfStyle w:val="001000000000" w:firstRow="0" w:lastRow="0" w:firstColumn="1" w:lastColumn="0" w:oddVBand="0" w:evenVBand="0" w:oddHBand="0" w:evenHBand="0" w:firstRowFirstColumn="0" w:firstRowLastColumn="0" w:lastRowFirstColumn="0" w:lastRowLastColumn="0"/>
            <w:tcW w:w="1307" w:type="dxa"/>
            <w:vMerge/>
          </w:tcPr>
          <w:p w14:paraId="5D36B64C" w14:textId="77777777" w:rsidR="00C05E57" w:rsidRPr="00AF23E4" w:rsidRDefault="00C05E57" w:rsidP="00C359BF">
            <w:pPr>
              <w:spacing w:after="0"/>
            </w:pPr>
          </w:p>
        </w:tc>
        <w:tc>
          <w:tcPr>
            <w:tcW w:w="1457" w:type="dxa"/>
            <w:vMerge/>
          </w:tcPr>
          <w:p w14:paraId="16FC70F5"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p>
        </w:tc>
        <w:tc>
          <w:tcPr>
            <w:tcW w:w="1795" w:type="dxa"/>
          </w:tcPr>
          <w:p w14:paraId="6D861755"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Non-target material</w:t>
            </w:r>
          </w:p>
        </w:tc>
        <w:tc>
          <w:tcPr>
            <w:tcW w:w="1570" w:type="dxa"/>
          </w:tcPr>
          <w:p w14:paraId="4C39F7C9"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1.5%</w:t>
            </w:r>
          </w:p>
        </w:tc>
        <w:tc>
          <w:tcPr>
            <w:tcW w:w="2944" w:type="dxa"/>
          </w:tcPr>
          <w:p w14:paraId="66E3C70A"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proofErr w:type="spellStart"/>
            <w:r w:rsidRPr="00AF23E4">
              <w:t>Sphera</w:t>
            </w:r>
            <w:proofErr w:type="spellEnd"/>
            <w:r w:rsidRPr="00AF23E4">
              <w:t xml:space="preserve"> for Ball Packaging (2020)</w:t>
            </w:r>
            <w:r w:rsidRPr="00AF23E4">
              <w:rPr>
                <w:vertAlign w:val="superscript"/>
              </w:rPr>
              <w:t>14</w:t>
            </w:r>
          </w:p>
        </w:tc>
      </w:tr>
      <w:tr w:rsidR="00C05E57" w:rsidRPr="00AF23E4" w14:paraId="103E8046" w14:textId="77777777" w:rsidTr="00C359BF">
        <w:trPr>
          <w:trHeight w:val="1073"/>
        </w:trPr>
        <w:tc>
          <w:tcPr>
            <w:cnfStyle w:val="001000000000" w:firstRow="0" w:lastRow="0" w:firstColumn="1" w:lastColumn="0" w:oddVBand="0" w:evenVBand="0" w:oddHBand="0" w:evenHBand="0" w:firstRowFirstColumn="0" w:firstRowLastColumn="0" w:lastRowFirstColumn="0" w:lastRowLastColumn="0"/>
            <w:tcW w:w="1307" w:type="dxa"/>
          </w:tcPr>
          <w:p w14:paraId="7DF4149D" w14:textId="77777777" w:rsidR="00C05E57" w:rsidRPr="00AF23E4" w:rsidRDefault="00C05E57" w:rsidP="00C359BF">
            <w:pPr>
              <w:spacing w:after="0"/>
            </w:pPr>
            <w:r w:rsidRPr="00AF23E4">
              <w:t>USA</w:t>
            </w:r>
          </w:p>
        </w:tc>
        <w:tc>
          <w:tcPr>
            <w:tcW w:w="1457" w:type="dxa"/>
          </w:tcPr>
          <w:p w14:paraId="17C7D2CF"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All</w:t>
            </w:r>
          </w:p>
        </w:tc>
        <w:tc>
          <w:tcPr>
            <w:tcW w:w="3366" w:type="dxa"/>
            <w:gridSpan w:val="2"/>
          </w:tcPr>
          <w:p w14:paraId="67EF07C5"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Varies by state</w:t>
            </w:r>
          </w:p>
        </w:tc>
        <w:tc>
          <w:tcPr>
            <w:tcW w:w="2944" w:type="dxa"/>
          </w:tcPr>
          <w:p w14:paraId="5809EFB9"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Eunomia</w:t>
            </w:r>
            <w:r w:rsidRPr="00AF23E4">
              <w:rPr>
                <w:vertAlign w:val="superscript"/>
              </w:rPr>
              <w:t>7</w:t>
            </w:r>
            <w:r w:rsidRPr="00AF23E4">
              <w:t>, based on RRS (2015)</w:t>
            </w:r>
            <w:r w:rsidRPr="00AF23E4">
              <w:rPr>
                <w:rStyle w:val="FootnoteReference"/>
              </w:rPr>
              <w:footnoteReference w:id="26"/>
            </w:r>
            <w:r w:rsidRPr="00AF23E4">
              <w:t xml:space="preserve"> and various MRF studies across the USA. </w:t>
            </w:r>
          </w:p>
        </w:tc>
      </w:tr>
      <w:tr w:rsidR="00C05E57" w:rsidRPr="00AF23E4" w14:paraId="4F6F757A" w14:textId="77777777" w:rsidTr="00C359BF">
        <w:trPr>
          <w:trHeight w:val="764"/>
        </w:trPr>
        <w:tc>
          <w:tcPr>
            <w:cnfStyle w:val="001000000000" w:firstRow="0" w:lastRow="0" w:firstColumn="1" w:lastColumn="0" w:oddVBand="0" w:evenVBand="0" w:oddHBand="0" w:evenHBand="0" w:firstRowFirstColumn="0" w:firstRowLastColumn="0" w:lastRowFirstColumn="0" w:lastRowLastColumn="0"/>
            <w:tcW w:w="1307" w:type="dxa"/>
            <w:vMerge w:val="restart"/>
          </w:tcPr>
          <w:p w14:paraId="48CBBEC4" w14:textId="77777777" w:rsidR="00C05E57" w:rsidRPr="00AF23E4" w:rsidRDefault="00C05E57" w:rsidP="00C359BF">
            <w:pPr>
              <w:spacing w:after="0"/>
            </w:pPr>
            <w:r w:rsidRPr="00AF23E4">
              <w:t>Japan</w:t>
            </w:r>
          </w:p>
        </w:tc>
        <w:tc>
          <w:tcPr>
            <w:tcW w:w="1457" w:type="dxa"/>
          </w:tcPr>
          <w:p w14:paraId="4B624E07"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Aluminium</w:t>
            </w:r>
          </w:p>
        </w:tc>
        <w:tc>
          <w:tcPr>
            <w:tcW w:w="1795" w:type="dxa"/>
          </w:tcPr>
          <w:p w14:paraId="155840CE"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Not specified</w:t>
            </w:r>
          </w:p>
        </w:tc>
        <w:tc>
          <w:tcPr>
            <w:tcW w:w="1570" w:type="dxa"/>
          </w:tcPr>
          <w:p w14:paraId="75BAE5A4" w14:textId="166C557C"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1.</w:t>
            </w:r>
            <w:r w:rsidR="00A62814" w:rsidRPr="00AF23E4">
              <w:t>6</w:t>
            </w:r>
            <w:r w:rsidRPr="00AF23E4">
              <w:t>%</w:t>
            </w:r>
          </w:p>
        </w:tc>
        <w:tc>
          <w:tcPr>
            <w:tcW w:w="2944" w:type="dxa"/>
          </w:tcPr>
          <w:p w14:paraId="1E08B75F"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Japanese Aluminium Can Recycling Association</w:t>
            </w:r>
            <w:r w:rsidRPr="00AF23E4">
              <w:rPr>
                <w:vertAlign w:val="superscript"/>
              </w:rPr>
              <w:t>8</w:t>
            </w:r>
          </w:p>
        </w:tc>
      </w:tr>
      <w:tr w:rsidR="00C05E57" w:rsidRPr="00AF23E4" w14:paraId="26133BD3" w14:textId="77777777" w:rsidTr="00C359BF">
        <w:trPr>
          <w:trHeight w:val="780"/>
        </w:trPr>
        <w:tc>
          <w:tcPr>
            <w:cnfStyle w:val="001000000000" w:firstRow="0" w:lastRow="0" w:firstColumn="1" w:lastColumn="0" w:oddVBand="0" w:evenVBand="0" w:oddHBand="0" w:evenHBand="0" w:firstRowFirstColumn="0" w:firstRowLastColumn="0" w:lastRowFirstColumn="0" w:lastRowLastColumn="0"/>
            <w:tcW w:w="1307" w:type="dxa"/>
            <w:vMerge/>
          </w:tcPr>
          <w:p w14:paraId="01FAAB7B" w14:textId="77777777" w:rsidR="00C05E57" w:rsidRPr="00AF23E4" w:rsidRDefault="00C05E57" w:rsidP="00C359BF">
            <w:pPr>
              <w:spacing w:after="0"/>
            </w:pPr>
          </w:p>
        </w:tc>
        <w:tc>
          <w:tcPr>
            <w:tcW w:w="1457" w:type="dxa"/>
          </w:tcPr>
          <w:p w14:paraId="08913F37"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PET</w:t>
            </w:r>
          </w:p>
        </w:tc>
        <w:tc>
          <w:tcPr>
            <w:tcW w:w="1795" w:type="dxa"/>
          </w:tcPr>
          <w:p w14:paraId="4732D6EE"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Not specified</w:t>
            </w:r>
          </w:p>
        </w:tc>
        <w:tc>
          <w:tcPr>
            <w:tcW w:w="1570" w:type="dxa"/>
          </w:tcPr>
          <w:p w14:paraId="046C50E8" w14:textId="1F4D99B1" w:rsidR="00C05E57" w:rsidRPr="00AF23E4" w:rsidRDefault="001525FD" w:rsidP="00C359BF">
            <w:pPr>
              <w:spacing w:after="0"/>
              <w:cnfStyle w:val="000000000000" w:firstRow="0" w:lastRow="0" w:firstColumn="0" w:lastColumn="0" w:oddVBand="0" w:evenVBand="0" w:oddHBand="0" w:evenHBand="0" w:firstRowFirstColumn="0" w:firstRowLastColumn="0" w:lastRowFirstColumn="0" w:lastRowLastColumn="0"/>
            </w:pPr>
            <w:r w:rsidRPr="00AF23E4">
              <w:t>9</w:t>
            </w:r>
            <w:r w:rsidR="00C05E57" w:rsidRPr="00AF23E4">
              <w:t>.</w:t>
            </w:r>
            <w:r w:rsidRPr="00AF23E4">
              <w:t>4</w:t>
            </w:r>
            <w:r w:rsidR="00C05E57" w:rsidRPr="00AF23E4">
              <w:t>%</w:t>
            </w:r>
          </w:p>
        </w:tc>
        <w:tc>
          <w:tcPr>
            <w:tcW w:w="2944" w:type="dxa"/>
          </w:tcPr>
          <w:p w14:paraId="4A68806A"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The Council for PET Bottle Recycling</w:t>
            </w:r>
            <w:r w:rsidRPr="00AF23E4">
              <w:rPr>
                <w:vertAlign w:val="superscript"/>
              </w:rPr>
              <w:t>9</w:t>
            </w:r>
          </w:p>
        </w:tc>
      </w:tr>
      <w:tr w:rsidR="00C05E57" w:rsidRPr="00AF23E4" w14:paraId="6D67FBDA" w14:textId="77777777" w:rsidTr="00C359BF">
        <w:trPr>
          <w:trHeight w:val="764"/>
        </w:trPr>
        <w:tc>
          <w:tcPr>
            <w:cnfStyle w:val="001000000000" w:firstRow="0" w:lastRow="0" w:firstColumn="1" w:lastColumn="0" w:oddVBand="0" w:evenVBand="0" w:oddHBand="0" w:evenHBand="0" w:firstRowFirstColumn="0" w:firstRowLastColumn="0" w:lastRowFirstColumn="0" w:lastRowLastColumn="0"/>
            <w:tcW w:w="1307" w:type="dxa"/>
            <w:vMerge/>
          </w:tcPr>
          <w:p w14:paraId="4AEAD4E9" w14:textId="77777777" w:rsidR="00C05E57" w:rsidRPr="00AF23E4" w:rsidRDefault="00C05E57" w:rsidP="00C359BF">
            <w:pPr>
              <w:spacing w:after="0"/>
            </w:pPr>
          </w:p>
        </w:tc>
        <w:tc>
          <w:tcPr>
            <w:tcW w:w="1457" w:type="dxa"/>
          </w:tcPr>
          <w:p w14:paraId="2DF6BE85"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Glass</w:t>
            </w:r>
          </w:p>
        </w:tc>
        <w:tc>
          <w:tcPr>
            <w:tcW w:w="1795" w:type="dxa"/>
          </w:tcPr>
          <w:p w14:paraId="6DF7BFEB"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Not specified</w:t>
            </w:r>
          </w:p>
        </w:tc>
        <w:tc>
          <w:tcPr>
            <w:tcW w:w="1570" w:type="dxa"/>
          </w:tcPr>
          <w:p w14:paraId="548A7EC6" w14:textId="7F0DEB19" w:rsidR="00C05E57" w:rsidRPr="00AF23E4" w:rsidRDefault="006D67E3" w:rsidP="00C359BF">
            <w:pPr>
              <w:spacing w:after="0"/>
              <w:cnfStyle w:val="000000000000" w:firstRow="0" w:lastRow="0" w:firstColumn="0" w:lastColumn="0" w:oddVBand="0" w:evenVBand="0" w:oddHBand="0" w:evenHBand="0" w:firstRowFirstColumn="0" w:firstRowLastColumn="0" w:lastRowFirstColumn="0" w:lastRowLastColumn="0"/>
            </w:pPr>
            <w:r w:rsidRPr="00AF23E4">
              <w:t>15.0%</w:t>
            </w:r>
          </w:p>
        </w:tc>
        <w:tc>
          <w:tcPr>
            <w:tcW w:w="2944" w:type="dxa"/>
          </w:tcPr>
          <w:p w14:paraId="602E5B0D" w14:textId="77777777" w:rsidR="00C05E57" w:rsidRPr="00AF23E4" w:rsidRDefault="00C05E57" w:rsidP="00C359BF">
            <w:pPr>
              <w:spacing w:after="0"/>
              <w:cnfStyle w:val="000000000000" w:firstRow="0" w:lastRow="0" w:firstColumn="0" w:lastColumn="0" w:oddVBand="0" w:evenVBand="0" w:oddHBand="0" w:evenHBand="0" w:firstRowFirstColumn="0" w:firstRowLastColumn="0" w:lastRowFirstColumn="0" w:lastRowLastColumn="0"/>
            </w:pPr>
            <w:r w:rsidRPr="00AF23E4">
              <w:t>Glass Bottle 3R Promotion Association</w:t>
            </w:r>
            <w:r w:rsidRPr="00AF23E4">
              <w:rPr>
                <w:vertAlign w:val="superscript"/>
              </w:rPr>
              <w:t>10</w:t>
            </w:r>
          </w:p>
        </w:tc>
      </w:tr>
    </w:tbl>
    <w:p w14:paraId="4935DD3F" w14:textId="54010914" w:rsidR="00C05E57" w:rsidRPr="00AF23E4" w:rsidRDefault="00C05E57" w:rsidP="00C05E57">
      <w:pPr>
        <w:pStyle w:val="Normal-Table"/>
        <w:rPr>
          <w:rFonts w:ascii="Arial" w:hAnsi="Arial"/>
          <w:b/>
          <w:bCs/>
          <w:iCs/>
          <w:color w:val="00A79D" w:themeColor="accent3"/>
          <w:sz w:val="30"/>
          <w:szCs w:val="28"/>
        </w:rPr>
      </w:pPr>
      <w:r w:rsidRPr="00AF23E4">
        <w:lastRenderedPageBreak/>
        <w:t xml:space="preserve">No sorting data specific for Brazil or China was made available to Eunomia. In the absence of this data, the European sorting losses were applied to calculate the sorting losses in Brazil and China. </w:t>
      </w:r>
    </w:p>
    <w:p w14:paraId="327587E3" w14:textId="77777777" w:rsidR="00C05E57" w:rsidRPr="00AF23E4" w:rsidRDefault="00C05E57" w:rsidP="00C05E57">
      <w:pPr>
        <w:pStyle w:val="Heading2"/>
      </w:pPr>
      <w:r w:rsidRPr="00AF23E4">
        <w:t>Re-processing data</w:t>
      </w:r>
    </w:p>
    <w:p w14:paraId="70C89E28" w14:textId="77777777" w:rsidR="001E08D9" w:rsidRPr="00AF23E4" w:rsidRDefault="00C05E57" w:rsidP="008E474B">
      <w:pPr>
        <w:rPr>
          <w:rFonts w:ascii="Arial" w:hAnsi="Arial"/>
          <w:b/>
          <w:bCs/>
          <w:color w:val="00A79D" w:themeColor="accent3"/>
          <w:szCs w:val="20"/>
        </w:rPr>
      </w:pPr>
      <w:r w:rsidRPr="00AF23E4">
        <w:t xml:space="preserve">Following sorting, the materials are re-processed so that they can be manufactured for another use. Each material has a distinct reprocessing method. Sorted aluminium cans are </w:t>
      </w:r>
      <w:proofErr w:type="spellStart"/>
      <w:r w:rsidRPr="00AF23E4">
        <w:t>delacquered</w:t>
      </w:r>
      <w:proofErr w:type="spellEnd"/>
      <w:r w:rsidRPr="00AF23E4">
        <w:t xml:space="preserve"> and remelted and cast into ingots; sorted PET bottles are washed and flaked and glass bottles are crushed into cullet and melted. During each of these processes, a proportion of the target material is lost, and is disposed of via incineration or landfill. </w:t>
      </w:r>
      <w:r w:rsidRPr="00AF23E4">
        <w:fldChar w:fldCharType="begin"/>
      </w:r>
      <w:r w:rsidRPr="00AF23E4">
        <w:instrText xml:space="preserve"> REF _Ref83812641 \h </w:instrText>
      </w:r>
      <w:r w:rsidR="008E474B" w:rsidRPr="00AF23E4">
        <w:instrText xml:space="preserve"> \* MERGEFORMAT </w:instrText>
      </w:r>
      <w:r w:rsidRPr="00AF23E4">
        <w:fldChar w:fldCharType="separate"/>
      </w:r>
    </w:p>
    <w:p w14:paraId="0C868131" w14:textId="718C0727" w:rsidR="00C05E57" w:rsidRPr="00AF23E4" w:rsidRDefault="001E08D9" w:rsidP="008E474B">
      <w:pPr>
        <w:rPr>
          <w:rFonts w:ascii="Arial" w:hAnsi="Arial"/>
          <w:b/>
          <w:bCs/>
          <w:color w:val="00A79D" w:themeColor="accent3"/>
          <w:szCs w:val="20"/>
        </w:rPr>
      </w:pPr>
      <w:r w:rsidRPr="00AF23E4">
        <w:t xml:space="preserve">Table </w:t>
      </w:r>
      <w:r w:rsidRPr="00AF23E4">
        <w:rPr>
          <w:noProof/>
        </w:rPr>
        <w:t>2</w:t>
      </w:r>
      <w:r w:rsidRPr="00AF23E4">
        <w:rPr>
          <w:noProof/>
        </w:rPr>
        <w:noBreakHyphen/>
        <w:t>5</w:t>
      </w:r>
      <w:r w:rsidR="00C05E57" w:rsidRPr="00AF23E4">
        <w:fldChar w:fldCharType="end"/>
      </w:r>
      <w:r w:rsidR="00C05E57" w:rsidRPr="00AF23E4">
        <w:t xml:space="preserve"> shows the data sources used to quantify the losses during the re-processing stage. </w:t>
      </w:r>
      <w:bookmarkStart w:id="7" w:name="_Ref83812641"/>
    </w:p>
    <w:p w14:paraId="1F16EE33" w14:textId="20A9371E" w:rsidR="00C05E57" w:rsidRPr="00AF23E4" w:rsidRDefault="00C05E57" w:rsidP="00C05E57">
      <w:pPr>
        <w:pStyle w:val="Caption"/>
      </w:pPr>
      <w:r w:rsidRPr="00AF23E4">
        <w:t xml:space="preserve">Table </w:t>
      </w:r>
      <w:r w:rsidR="005D5FDF">
        <w:fldChar w:fldCharType="begin"/>
      </w:r>
      <w:r w:rsidR="005D5FDF">
        <w:instrText xml:space="preserve"> STYLEREF 1 \s </w:instrText>
      </w:r>
      <w:r w:rsidR="005D5FDF">
        <w:fldChar w:fldCharType="separate"/>
      </w:r>
      <w:r w:rsidR="001E08D9" w:rsidRPr="00AF23E4">
        <w:rPr>
          <w:noProof/>
        </w:rPr>
        <w:t>2</w:t>
      </w:r>
      <w:r w:rsidR="005D5FDF">
        <w:rPr>
          <w:noProof/>
        </w:rPr>
        <w:fldChar w:fldCharType="end"/>
      </w:r>
      <w:r w:rsidRPr="00AF23E4">
        <w:noBreakHyphen/>
      </w:r>
      <w:r w:rsidR="005D5FDF">
        <w:fldChar w:fldCharType="begin"/>
      </w:r>
      <w:r w:rsidR="005D5FDF">
        <w:instrText xml:space="preserve"> SEQ Table \* ARABIC \s 1 </w:instrText>
      </w:r>
      <w:r w:rsidR="005D5FDF">
        <w:fldChar w:fldCharType="separate"/>
      </w:r>
      <w:r w:rsidR="001E08D9" w:rsidRPr="00AF23E4">
        <w:rPr>
          <w:noProof/>
        </w:rPr>
        <w:t>5</w:t>
      </w:r>
      <w:r w:rsidR="005D5FDF">
        <w:rPr>
          <w:noProof/>
        </w:rPr>
        <w:fldChar w:fldCharType="end"/>
      </w:r>
      <w:bookmarkEnd w:id="7"/>
      <w:r w:rsidRPr="00AF23E4">
        <w:t>: Data sources for re-processing data.</w:t>
      </w:r>
    </w:p>
    <w:tbl>
      <w:tblPr>
        <w:tblStyle w:val="Eunomia-Totals"/>
        <w:tblW w:w="0" w:type="auto"/>
        <w:tblLook w:val="04A0" w:firstRow="1" w:lastRow="0" w:firstColumn="1" w:lastColumn="0" w:noHBand="0" w:noVBand="1"/>
      </w:tblPr>
      <w:tblGrid>
        <w:gridCol w:w="1299"/>
        <w:gridCol w:w="1448"/>
        <w:gridCol w:w="1672"/>
        <w:gridCol w:w="1672"/>
        <w:gridCol w:w="2925"/>
      </w:tblGrid>
      <w:tr w:rsidR="00C05E57" w:rsidRPr="00AF23E4" w14:paraId="0E13B362" w14:textId="77777777" w:rsidTr="0029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dxa"/>
          </w:tcPr>
          <w:p w14:paraId="4DBCD33F" w14:textId="77777777" w:rsidR="00C05E57" w:rsidRPr="00AF23E4" w:rsidRDefault="00C05E57" w:rsidP="002958DD">
            <w:r w:rsidRPr="00AF23E4">
              <w:t>Region / Country</w:t>
            </w:r>
          </w:p>
        </w:tc>
        <w:tc>
          <w:tcPr>
            <w:tcW w:w="1448" w:type="dxa"/>
          </w:tcPr>
          <w:p w14:paraId="600104FB"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Material Type</w:t>
            </w:r>
          </w:p>
        </w:tc>
        <w:tc>
          <w:tcPr>
            <w:tcW w:w="1672" w:type="dxa"/>
          </w:tcPr>
          <w:p w14:paraId="2228FD02"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Reprocessing stage</w:t>
            </w:r>
          </w:p>
        </w:tc>
        <w:tc>
          <w:tcPr>
            <w:tcW w:w="1672" w:type="dxa"/>
          </w:tcPr>
          <w:p w14:paraId="197EF7D1"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Losses (%)</w:t>
            </w:r>
          </w:p>
        </w:tc>
        <w:tc>
          <w:tcPr>
            <w:tcW w:w="2925" w:type="dxa"/>
          </w:tcPr>
          <w:p w14:paraId="36F5C858"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Data Source</w:t>
            </w:r>
          </w:p>
        </w:tc>
      </w:tr>
      <w:tr w:rsidR="00C05E57" w:rsidRPr="00AF23E4" w14:paraId="797658B3" w14:textId="77777777" w:rsidTr="002958DD">
        <w:trPr>
          <w:trHeight w:val="264"/>
        </w:trPr>
        <w:tc>
          <w:tcPr>
            <w:cnfStyle w:val="001000000000" w:firstRow="0" w:lastRow="0" w:firstColumn="1" w:lastColumn="0" w:oddVBand="0" w:evenVBand="0" w:oddHBand="0" w:evenHBand="0" w:firstRowFirstColumn="0" w:firstRowLastColumn="0" w:lastRowFirstColumn="0" w:lastRowLastColumn="0"/>
            <w:tcW w:w="1299" w:type="dxa"/>
            <w:vMerge w:val="restart"/>
          </w:tcPr>
          <w:p w14:paraId="24D58128" w14:textId="77777777" w:rsidR="00C05E57" w:rsidRPr="00AF23E4" w:rsidRDefault="00C05E57" w:rsidP="002958DD">
            <w:r w:rsidRPr="00AF23E4">
              <w:t>Europe / USA</w:t>
            </w:r>
          </w:p>
        </w:tc>
        <w:tc>
          <w:tcPr>
            <w:tcW w:w="1448" w:type="dxa"/>
            <w:vMerge w:val="restart"/>
          </w:tcPr>
          <w:p w14:paraId="2DC8AB1B"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Aluminium</w:t>
            </w:r>
          </w:p>
        </w:tc>
        <w:tc>
          <w:tcPr>
            <w:tcW w:w="1672" w:type="dxa"/>
          </w:tcPr>
          <w:p w14:paraId="065900E8"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roofErr w:type="spellStart"/>
            <w:r w:rsidRPr="00AF23E4">
              <w:t>Delaqcuering</w:t>
            </w:r>
            <w:proofErr w:type="spellEnd"/>
            <w:r w:rsidRPr="00AF23E4">
              <w:t xml:space="preserve"> </w:t>
            </w:r>
          </w:p>
        </w:tc>
        <w:tc>
          <w:tcPr>
            <w:tcW w:w="1672" w:type="dxa"/>
          </w:tcPr>
          <w:p w14:paraId="1F846C72" w14:textId="23FB5F8D"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2.0%</w:t>
            </w:r>
          </w:p>
        </w:tc>
        <w:tc>
          <w:tcPr>
            <w:tcW w:w="2925" w:type="dxa"/>
          </w:tcPr>
          <w:p w14:paraId="364112AD"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Stakeholder interview</w:t>
            </w:r>
          </w:p>
        </w:tc>
      </w:tr>
      <w:tr w:rsidR="00C05E57" w:rsidRPr="00AF23E4" w14:paraId="4DAD1154" w14:textId="77777777" w:rsidTr="002958DD">
        <w:trPr>
          <w:trHeight w:val="264"/>
        </w:trPr>
        <w:tc>
          <w:tcPr>
            <w:cnfStyle w:val="001000000000" w:firstRow="0" w:lastRow="0" w:firstColumn="1" w:lastColumn="0" w:oddVBand="0" w:evenVBand="0" w:oddHBand="0" w:evenHBand="0" w:firstRowFirstColumn="0" w:firstRowLastColumn="0" w:lastRowFirstColumn="0" w:lastRowLastColumn="0"/>
            <w:tcW w:w="1299" w:type="dxa"/>
            <w:vMerge/>
          </w:tcPr>
          <w:p w14:paraId="4C35D3C5" w14:textId="77777777" w:rsidR="00C05E57" w:rsidRPr="00AF23E4" w:rsidRDefault="00C05E57" w:rsidP="002958DD"/>
        </w:tc>
        <w:tc>
          <w:tcPr>
            <w:tcW w:w="1448" w:type="dxa"/>
            <w:vMerge/>
          </w:tcPr>
          <w:p w14:paraId="480A1970"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1672" w:type="dxa"/>
          </w:tcPr>
          <w:p w14:paraId="467EB49B"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Remelting</w:t>
            </w:r>
          </w:p>
        </w:tc>
        <w:tc>
          <w:tcPr>
            <w:tcW w:w="1672" w:type="dxa"/>
          </w:tcPr>
          <w:p w14:paraId="05E36CC3" w14:textId="7D8D6BC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4.5%</w:t>
            </w:r>
          </w:p>
        </w:tc>
        <w:tc>
          <w:tcPr>
            <w:tcW w:w="2925" w:type="dxa"/>
          </w:tcPr>
          <w:p w14:paraId="00D02F23"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Boin &amp; Bertram (2005)</w:t>
            </w:r>
            <w:r w:rsidRPr="00AF23E4">
              <w:rPr>
                <w:rStyle w:val="FootnoteReference"/>
              </w:rPr>
              <w:footnoteReference w:id="27"/>
            </w:r>
          </w:p>
        </w:tc>
      </w:tr>
      <w:tr w:rsidR="00C05E57" w:rsidRPr="00AF23E4" w14:paraId="6DA7AA82" w14:textId="77777777" w:rsidTr="002958DD">
        <w:tc>
          <w:tcPr>
            <w:cnfStyle w:val="001000000000" w:firstRow="0" w:lastRow="0" w:firstColumn="1" w:lastColumn="0" w:oddVBand="0" w:evenVBand="0" w:oddHBand="0" w:evenHBand="0" w:firstRowFirstColumn="0" w:firstRowLastColumn="0" w:lastRowFirstColumn="0" w:lastRowLastColumn="0"/>
            <w:tcW w:w="1299" w:type="dxa"/>
            <w:vMerge/>
          </w:tcPr>
          <w:p w14:paraId="037EA587" w14:textId="77777777" w:rsidR="00C05E57" w:rsidRPr="00AF23E4" w:rsidRDefault="00C05E57" w:rsidP="002958DD"/>
        </w:tc>
        <w:tc>
          <w:tcPr>
            <w:tcW w:w="1448" w:type="dxa"/>
            <w:vMerge w:val="restart"/>
          </w:tcPr>
          <w:p w14:paraId="2CA0DB19"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PET</w:t>
            </w:r>
          </w:p>
        </w:tc>
        <w:tc>
          <w:tcPr>
            <w:tcW w:w="1672" w:type="dxa"/>
          </w:tcPr>
          <w:p w14:paraId="32022A9F"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Wash &amp; Flake</w:t>
            </w:r>
          </w:p>
        </w:tc>
        <w:tc>
          <w:tcPr>
            <w:tcW w:w="1672" w:type="dxa"/>
          </w:tcPr>
          <w:p w14:paraId="1829D5C1" w14:textId="356C9D0A"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26.5%</w:t>
            </w:r>
          </w:p>
        </w:tc>
        <w:tc>
          <w:tcPr>
            <w:tcW w:w="2925" w:type="dxa"/>
          </w:tcPr>
          <w:p w14:paraId="17FA053D"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GVM</w:t>
            </w:r>
            <w:r w:rsidRPr="00AF23E4">
              <w:rPr>
                <w:rStyle w:val="FootnoteReference"/>
              </w:rPr>
              <w:footnoteReference w:id="28"/>
            </w:r>
          </w:p>
        </w:tc>
      </w:tr>
      <w:tr w:rsidR="00C05E57" w:rsidRPr="00AF23E4" w14:paraId="031D3F0D" w14:textId="77777777" w:rsidTr="002958DD">
        <w:tc>
          <w:tcPr>
            <w:cnfStyle w:val="001000000000" w:firstRow="0" w:lastRow="0" w:firstColumn="1" w:lastColumn="0" w:oddVBand="0" w:evenVBand="0" w:oddHBand="0" w:evenHBand="0" w:firstRowFirstColumn="0" w:firstRowLastColumn="0" w:lastRowFirstColumn="0" w:lastRowLastColumn="0"/>
            <w:tcW w:w="1299" w:type="dxa"/>
            <w:vMerge/>
          </w:tcPr>
          <w:p w14:paraId="544523A7" w14:textId="77777777" w:rsidR="00C05E57" w:rsidRPr="00AF23E4" w:rsidRDefault="00C05E57" w:rsidP="002958DD"/>
        </w:tc>
        <w:tc>
          <w:tcPr>
            <w:tcW w:w="1448" w:type="dxa"/>
            <w:vMerge/>
          </w:tcPr>
          <w:p w14:paraId="7B75A331"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1672" w:type="dxa"/>
          </w:tcPr>
          <w:p w14:paraId="6B0293B9"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Extrusion</w:t>
            </w:r>
          </w:p>
        </w:tc>
        <w:tc>
          <w:tcPr>
            <w:tcW w:w="1672" w:type="dxa"/>
          </w:tcPr>
          <w:p w14:paraId="5CEA0309" w14:textId="22D16A44"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1.0%</w:t>
            </w:r>
          </w:p>
        </w:tc>
        <w:tc>
          <w:tcPr>
            <w:tcW w:w="2925" w:type="dxa"/>
          </w:tcPr>
          <w:p w14:paraId="18836097"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roofErr w:type="spellStart"/>
            <w:r w:rsidRPr="00AF23E4">
              <w:t>PETnology</w:t>
            </w:r>
            <w:proofErr w:type="spellEnd"/>
            <w:r w:rsidRPr="00AF23E4">
              <w:rPr>
                <w:rStyle w:val="FootnoteReference"/>
              </w:rPr>
              <w:footnoteReference w:id="29"/>
            </w:r>
          </w:p>
        </w:tc>
      </w:tr>
      <w:tr w:rsidR="00C05E57" w:rsidRPr="00AF23E4" w14:paraId="5576B8E2" w14:textId="77777777" w:rsidTr="002958DD">
        <w:tc>
          <w:tcPr>
            <w:cnfStyle w:val="001000000000" w:firstRow="0" w:lastRow="0" w:firstColumn="1" w:lastColumn="0" w:oddVBand="0" w:evenVBand="0" w:oddHBand="0" w:evenHBand="0" w:firstRowFirstColumn="0" w:firstRowLastColumn="0" w:lastRowFirstColumn="0" w:lastRowLastColumn="0"/>
            <w:tcW w:w="1299" w:type="dxa"/>
            <w:vMerge/>
          </w:tcPr>
          <w:p w14:paraId="1408800F" w14:textId="77777777" w:rsidR="00C05E57" w:rsidRPr="00AF23E4" w:rsidRDefault="00C05E57" w:rsidP="002958DD"/>
        </w:tc>
        <w:tc>
          <w:tcPr>
            <w:tcW w:w="1448" w:type="dxa"/>
          </w:tcPr>
          <w:p w14:paraId="25258AFB"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Glass</w:t>
            </w:r>
          </w:p>
        </w:tc>
        <w:tc>
          <w:tcPr>
            <w:tcW w:w="1672" w:type="dxa"/>
          </w:tcPr>
          <w:p w14:paraId="2C518D43"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Cullet production</w:t>
            </w:r>
          </w:p>
        </w:tc>
        <w:tc>
          <w:tcPr>
            <w:tcW w:w="1672" w:type="dxa"/>
          </w:tcPr>
          <w:p w14:paraId="4FA50128" w14:textId="56E6802E"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20.0%</w:t>
            </w:r>
          </w:p>
        </w:tc>
        <w:tc>
          <w:tcPr>
            <w:tcW w:w="2925" w:type="dxa"/>
          </w:tcPr>
          <w:p w14:paraId="082A2FC1" w14:textId="7D61C252" w:rsidR="00C05E57" w:rsidRPr="00AF23E4" w:rsidRDefault="00F93AF8" w:rsidP="002958DD">
            <w:pPr>
              <w:cnfStyle w:val="000000000000" w:firstRow="0" w:lastRow="0" w:firstColumn="0" w:lastColumn="0" w:oddVBand="0" w:evenVBand="0" w:oddHBand="0" w:evenHBand="0" w:firstRowFirstColumn="0" w:firstRowLastColumn="0" w:lastRowFirstColumn="0" w:lastRowLastColumn="0"/>
            </w:pPr>
            <w:r w:rsidRPr="00AF23E4">
              <w:t>Industry</w:t>
            </w:r>
            <w:r w:rsidR="00C05E57" w:rsidRPr="00AF23E4">
              <w:t xml:space="preserve"> interview</w:t>
            </w:r>
          </w:p>
        </w:tc>
      </w:tr>
      <w:tr w:rsidR="00C05E57" w:rsidRPr="00AF23E4" w14:paraId="229622F1" w14:textId="77777777" w:rsidTr="002958DD">
        <w:tc>
          <w:tcPr>
            <w:cnfStyle w:val="001000000000" w:firstRow="0" w:lastRow="0" w:firstColumn="1" w:lastColumn="0" w:oddVBand="0" w:evenVBand="0" w:oddHBand="0" w:evenHBand="0" w:firstRowFirstColumn="0" w:firstRowLastColumn="0" w:lastRowFirstColumn="0" w:lastRowLastColumn="0"/>
            <w:tcW w:w="1299" w:type="dxa"/>
            <w:vMerge w:val="restart"/>
          </w:tcPr>
          <w:p w14:paraId="469F91AA" w14:textId="77777777" w:rsidR="00C05E57" w:rsidRPr="00AF23E4" w:rsidRDefault="00C05E57" w:rsidP="002958DD">
            <w:r w:rsidRPr="00AF23E4">
              <w:t>Japan</w:t>
            </w:r>
          </w:p>
        </w:tc>
        <w:tc>
          <w:tcPr>
            <w:tcW w:w="1448" w:type="dxa"/>
          </w:tcPr>
          <w:p w14:paraId="72A3FF3F"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Aluminium</w:t>
            </w:r>
          </w:p>
        </w:tc>
        <w:tc>
          <w:tcPr>
            <w:tcW w:w="3344" w:type="dxa"/>
            <w:gridSpan w:val="2"/>
          </w:tcPr>
          <w:p w14:paraId="18840196"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Not specified</w:t>
            </w:r>
          </w:p>
        </w:tc>
        <w:tc>
          <w:tcPr>
            <w:tcW w:w="2925" w:type="dxa"/>
          </w:tcPr>
          <w:p w14:paraId="1B3D87F9"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Japanese Aluminium Can Recycling Association</w:t>
            </w:r>
            <w:r w:rsidRPr="00AF23E4">
              <w:rPr>
                <w:vertAlign w:val="superscript"/>
              </w:rPr>
              <w:t>8</w:t>
            </w:r>
          </w:p>
        </w:tc>
      </w:tr>
      <w:tr w:rsidR="00C05E57" w:rsidRPr="00AF23E4" w14:paraId="0D6C16D4" w14:textId="77777777" w:rsidTr="002958DD">
        <w:tc>
          <w:tcPr>
            <w:cnfStyle w:val="001000000000" w:firstRow="0" w:lastRow="0" w:firstColumn="1" w:lastColumn="0" w:oddVBand="0" w:evenVBand="0" w:oddHBand="0" w:evenHBand="0" w:firstRowFirstColumn="0" w:firstRowLastColumn="0" w:lastRowFirstColumn="0" w:lastRowLastColumn="0"/>
            <w:tcW w:w="1299" w:type="dxa"/>
            <w:vMerge/>
          </w:tcPr>
          <w:p w14:paraId="74C735F7" w14:textId="77777777" w:rsidR="00C05E57" w:rsidRPr="00AF23E4" w:rsidRDefault="00C05E57" w:rsidP="002958DD"/>
        </w:tc>
        <w:tc>
          <w:tcPr>
            <w:tcW w:w="1448" w:type="dxa"/>
            <w:vMerge w:val="restart"/>
          </w:tcPr>
          <w:p w14:paraId="196E2A56"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PET</w:t>
            </w:r>
          </w:p>
        </w:tc>
        <w:tc>
          <w:tcPr>
            <w:tcW w:w="1672" w:type="dxa"/>
          </w:tcPr>
          <w:p w14:paraId="325AE468"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Wash &amp; Flake</w:t>
            </w:r>
          </w:p>
        </w:tc>
        <w:tc>
          <w:tcPr>
            <w:tcW w:w="1672" w:type="dxa"/>
          </w:tcPr>
          <w:p w14:paraId="63F94857" w14:textId="63D03781"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26.5%</w:t>
            </w:r>
          </w:p>
        </w:tc>
        <w:tc>
          <w:tcPr>
            <w:tcW w:w="2925" w:type="dxa"/>
          </w:tcPr>
          <w:p w14:paraId="6D591449" w14:textId="45EE450D"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GVM</w:t>
            </w:r>
            <w:r w:rsidRPr="00AF23E4">
              <w:rPr>
                <w:vertAlign w:val="superscript"/>
              </w:rPr>
              <w:t>2</w:t>
            </w:r>
            <w:r w:rsidR="008D29F6" w:rsidRPr="00AF23E4">
              <w:rPr>
                <w:vertAlign w:val="superscript"/>
              </w:rPr>
              <w:t>7</w:t>
            </w:r>
          </w:p>
        </w:tc>
      </w:tr>
      <w:tr w:rsidR="00C05E57" w:rsidRPr="00AF23E4" w14:paraId="610000AF" w14:textId="77777777" w:rsidTr="002958DD">
        <w:tc>
          <w:tcPr>
            <w:cnfStyle w:val="001000000000" w:firstRow="0" w:lastRow="0" w:firstColumn="1" w:lastColumn="0" w:oddVBand="0" w:evenVBand="0" w:oddHBand="0" w:evenHBand="0" w:firstRowFirstColumn="0" w:firstRowLastColumn="0" w:lastRowFirstColumn="0" w:lastRowLastColumn="0"/>
            <w:tcW w:w="1299" w:type="dxa"/>
            <w:vMerge/>
          </w:tcPr>
          <w:p w14:paraId="06B4827C" w14:textId="77777777" w:rsidR="00C05E57" w:rsidRPr="00AF23E4" w:rsidRDefault="00C05E57" w:rsidP="002958DD"/>
        </w:tc>
        <w:tc>
          <w:tcPr>
            <w:tcW w:w="1448" w:type="dxa"/>
            <w:vMerge/>
          </w:tcPr>
          <w:p w14:paraId="55FE7CC1"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1672" w:type="dxa"/>
          </w:tcPr>
          <w:p w14:paraId="1F04CA50"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Extrusion</w:t>
            </w:r>
          </w:p>
        </w:tc>
        <w:tc>
          <w:tcPr>
            <w:tcW w:w="1672" w:type="dxa"/>
          </w:tcPr>
          <w:p w14:paraId="15D21C82" w14:textId="60DBE0DB"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1.0%</w:t>
            </w:r>
          </w:p>
        </w:tc>
        <w:tc>
          <w:tcPr>
            <w:tcW w:w="2925" w:type="dxa"/>
          </w:tcPr>
          <w:p w14:paraId="389C589B" w14:textId="47930620" w:rsidR="00C05E57" w:rsidRPr="00AF23E4" w:rsidRDefault="00266948" w:rsidP="002958DD">
            <w:pPr>
              <w:cnfStyle w:val="000000000000" w:firstRow="0" w:lastRow="0" w:firstColumn="0" w:lastColumn="0" w:oddVBand="0" w:evenVBand="0" w:oddHBand="0" w:evenHBand="0" w:firstRowFirstColumn="0" w:firstRowLastColumn="0" w:lastRowFirstColumn="0" w:lastRowLastColumn="0"/>
            </w:pPr>
            <w:r w:rsidRPr="00AF23E4">
              <w:t>PETnology</w:t>
            </w:r>
            <w:r w:rsidRPr="00AF23E4">
              <w:rPr>
                <w:vertAlign w:val="superscript"/>
              </w:rPr>
              <w:t>28</w:t>
            </w:r>
          </w:p>
        </w:tc>
      </w:tr>
      <w:tr w:rsidR="00C05E57" w:rsidRPr="00AF23E4" w14:paraId="2550AA38" w14:textId="77777777" w:rsidTr="002958DD">
        <w:tc>
          <w:tcPr>
            <w:cnfStyle w:val="001000000000" w:firstRow="0" w:lastRow="0" w:firstColumn="1" w:lastColumn="0" w:oddVBand="0" w:evenVBand="0" w:oddHBand="0" w:evenHBand="0" w:firstRowFirstColumn="0" w:firstRowLastColumn="0" w:lastRowFirstColumn="0" w:lastRowLastColumn="0"/>
            <w:tcW w:w="1299" w:type="dxa"/>
            <w:vMerge/>
          </w:tcPr>
          <w:p w14:paraId="58271343" w14:textId="77777777" w:rsidR="00C05E57" w:rsidRPr="00AF23E4" w:rsidRDefault="00C05E57" w:rsidP="002958DD"/>
        </w:tc>
        <w:tc>
          <w:tcPr>
            <w:tcW w:w="1448" w:type="dxa"/>
          </w:tcPr>
          <w:p w14:paraId="6E1ADB70"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Glass</w:t>
            </w:r>
          </w:p>
        </w:tc>
        <w:tc>
          <w:tcPr>
            <w:tcW w:w="1672" w:type="dxa"/>
          </w:tcPr>
          <w:p w14:paraId="17613952"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Cullet production</w:t>
            </w:r>
          </w:p>
        </w:tc>
        <w:tc>
          <w:tcPr>
            <w:tcW w:w="1672" w:type="dxa"/>
          </w:tcPr>
          <w:p w14:paraId="07E0CC58" w14:textId="47A1055E" w:rsidR="00C05E57" w:rsidRPr="00AF23E4" w:rsidRDefault="00D91A3A" w:rsidP="002958DD">
            <w:pPr>
              <w:cnfStyle w:val="000000000000" w:firstRow="0" w:lastRow="0" w:firstColumn="0" w:lastColumn="0" w:oddVBand="0" w:evenVBand="0" w:oddHBand="0" w:evenHBand="0" w:firstRowFirstColumn="0" w:firstRowLastColumn="0" w:lastRowFirstColumn="0" w:lastRowLastColumn="0"/>
            </w:pPr>
            <w:r w:rsidRPr="00AF23E4">
              <w:t>4.</w:t>
            </w:r>
            <w:r w:rsidR="00C05E57" w:rsidRPr="00AF23E4">
              <w:t>1%</w:t>
            </w:r>
          </w:p>
        </w:tc>
        <w:tc>
          <w:tcPr>
            <w:tcW w:w="2925" w:type="dxa"/>
          </w:tcPr>
          <w:p w14:paraId="560BFF5E"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Glass Bottle 3R Promotion Association</w:t>
            </w:r>
            <w:r w:rsidRPr="00AF23E4">
              <w:rPr>
                <w:vertAlign w:val="superscript"/>
              </w:rPr>
              <w:t>10</w:t>
            </w:r>
          </w:p>
        </w:tc>
      </w:tr>
    </w:tbl>
    <w:p w14:paraId="229EDD7E" w14:textId="77777777" w:rsidR="00C05E57" w:rsidRPr="00AF23E4" w:rsidRDefault="00C05E57" w:rsidP="00C05E57">
      <w:pPr>
        <w:pStyle w:val="Normal-Table"/>
      </w:pPr>
    </w:p>
    <w:p w14:paraId="43A3F8A0" w14:textId="5F8754F4" w:rsidR="00C05E57" w:rsidRPr="00AF23E4" w:rsidRDefault="00C05E57" w:rsidP="00C05E57">
      <w:pPr>
        <w:spacing w:before="0" w:after="0"/>
        <w:rPr>
          <w:rFonts w:ascii="Arial" w:hAnsi="Arial"/>
          <w:b/>
          <w:bCs/>
          <w:iCs/>
          <w:color w:val="00A79D" w:themeColor="accent3"/>
          <w:sz w:val="30"/>
          <w:szCs w:val="28"/>
        </w:rPr>
      </w:pPr>
      <w:r w:rsidRPr="00AF23E4">
        <w:t xml:space="preserve">As in Section </w:t>
      </w:r>
      <w:r w:rsidRPr="00AF23E4">
        <w:fldChar w:fldCharType="begin"/>
      </w:r>
      <w:r w:rsidRPr="00AF23E4">
        <w:instrText xml:space="preserve"> REF _Ref86143138 \w \h </w:instrText>
      </w:r>
      <w:r w:rsidR="00AF23E4">
        <w:instrText xml:space="preserve"> \* MERGEFORMAT </w:instrText>
      </w:r>
      <w:r w:rsidRPr="00AF23E4">
        <w:fldChar w:fldCharType="separate"/>
      </w:r>
      <w:r w:rsidR="001E08D9" w:rsidRPr="00AF23E4">
        <w:t>2.3</w:t>
      </w:r>
      <w:r w:rsidRPr="00AF23E4">
        <w:fldChar w:fldCharType="end"/>
      </w:r>
      <w:r w:rsidRPr="00AF23E4">
        <w:t xml:space="preserve">, where no specific re-processing data was made available to Eunomia for Brazil and </w:t>
      </w:r>
      <w:proofErr w:type="spellStart"/>
      <w:proofErr w:type="gramStart"/>
      <w:r w:rsidRPr="00AF23E4">
        <w:t>China</w:t>
      </w:r>
      <w:r w:rsidR="00BD648F" w:rsidRPr="00AF23E4">
        <w:t>,</w:t>
      </w:r>
      <w:r w:rsidRPr="00AF23E4">
        <w:t>the</w:t>
      </w:r>
      <w:proofErr w:type="spellEnd"/>
      <w:proofErr w:type="gramEnd"/>
      <w:r w:rsidRPr="00AF23E4">
        <w:t xml:space="preserve"> European re-processing losses were applied.  </w:t>
      </w:r>
    </w:p>
    <w:p w14:paraId="0485E167" w14:textId="77777777" w:rsidR="00C05E57" w:rsidRPr="00AF23E4" w:rsidRDefault="00C05E57" w:rsidP="00C05E57">
      <w:pPr>
        <w:pStyle w:val="Heading2"/>
      </w:pPr>
      <w:r w:rsidRPr="00AF23E4">
        <w:lastRenderedPageBreak/>
        <w:t>Use of recycled material data</w:t>
      </w:r>
    </w:p>
    <w:p w14:paraId="1F24E6A4" w14:textId="65D2EF4D" w:rsidR="00C05E57" w:rsidRPr="00AF23E4" w:rsidRDefault="00C05E57" w:rsidP="00C05E57">
      <w:r w:rsidRPr="00AF23E4">
        <w:t xml:space="preserve">The total recycling rate consists of closed-loop recycling, where a beverage container is formed from the recycled material, and open-loop recycling, where another product is formed from the recycled material. </w:t>
      </w:r>
      <w:r w:rsidRPr="00AF23E4">
        <w:fldChar w:fldCharType="begin"/>
      </w:r>
      <w:r w:rsidRPr="00AF23E4">
        <w:instrText xml:space="preserve"> REF _Ref84492790 \h </w:instrText>
      </w:r>
      <w:r w:rsidR="00AF23E4">
        <w:instrText xml:space="preserve"> \* MERGEFORMAT </w:instrText>
      </w:r>
      <w:r w:rsidRPr="00AF23E4">
        <w:fldChar w:fldCharType="separate"/>
      </w:r>
      <w:r w:rsidR="00263BE6" w:rsidRPr="00AF23E4">
        <w:t xml:space="preserve">Table </w:t>
      </w:r>
      <w:r w:rsidR="00263BE6" w:rsidRPr="00AF23E4">
        <w:rPr>
          <w:noProof/>
        </w:rPr>
        <w:t>2</w:t>
      </w:r>
      <w:r w:rsidR="00263BE6" w:rsidRPr="00AF23E4">
        <w:noBreakHyphen/>
      </w:r>
      <w:r w:rsidR="00263BE6" w:rsidRPr="00AF23E4">
        <w:rPr>
          <w:noProof/>
        </w:rPr>
        <w:t>6</w:t>
      </w:r>
      <w:r w:rsidRPr="00AF23E4">
        <w:fldChar w:fldCharType="end"/>
      </w:r>
      <w:r w:rsidRPr="00AF23E4">
        <w:t xml:space="preserve"> highlights the proportion of recycled material that enters open-loop recycling. </w:t>
      </w:r>
    </w:p>
    <w:p w14:paraId="65B0DA39" w14:textId="75BDD2B0" w:rsidR="00C05E57" w:rsidRPr="00AF23E4" w:rsidRDefault="00C05E57" w:rsidP="00C05E57">
      <w:pPr>
        <w:pStyle w:val="Caption"/>
      </w:pPr>
      <w:bookmarkStart w:id="8" w:name="_Ref84492790"/>
      <w:r w:rsidRPr="00AF23E4">
        <w:t xml:space="preserve">Table </w:t>
      </w:r>
      <w:r w:rsidR="005D5FDF">
        <w:fldChar w:fldCharType="begin"/>
      </w:r>
      <w:r w:rsidR="005D5FDF">
        <w:instrText xml:space="preserve"> STYLEREF 1 \s </w:instrText>
      </w:r>
      <w:r w:rsidR="005D5FDF">
        <w:fldChar w:fldCharType="separate"/>
      </w:r>
      <w:r w:rsidR="001E08D9" w:rsidRPr="00AF23E4">
        <w:rPr>
          <w:noProof/>
        </w:rPr>
        <w:t>2</w:t>
      </w:r>
      <w:r w:rsidR="005D5FDF">
        <w:rPr>
          <w:noProof/>
        </w:rPr>
        <w:fldChar w:fldCharType="end"/>
      </w:r>
      <w:r w:rsidRPr="00AF23E4">
        <w:noBreakHyphen/>
      </w:r>
      <w:r w:rsidR="005D5FDF">
        <w:fldChar w:fldCharType="begin"/>
      </w:r>
      <w:r w:rsidR="005D5FDF">
        <w:instrText xml:space="preserve"> SEQ Table \* ARABIC \s 1 </w:instrText>
      </w:r>
      <w:r w:rsidR="005D5FDF">
        <w:fldChar w:fldCharType="separate"/>
      </w:r>
      <w:r w:rsidR="001E08D9" w:rsidRPr="00AF23E4">
        <w:rPr>
          <w:noProof/>
        </w:rPr>
        <w:t>6</w:t>
      </w:r>
      <w:r w:rsidR="005D5FDF">
        <w:rPr>
          <w:noProof/>
        </w:rPr>
        <w:fldChar w:fldCharType="end"/>
      </w:r>
      <w:bookmarkEnd w:id="8"/>
      <w:r w:rsidRPr="00AF23E4">
        <w:t>: Data sources for recycled material data.</w:t>
      </w:r>
    </w:p>
    <w:tbl>
      <w:tblPr>
        <w:tblStyle w:val="Eunomia-Totals"/>
        <w:tblW w:w="0" w:type="auto"/>
        <w:tblLook w:val="04A0" w:firstRow="1" w:lastRow="0" w:firstColumn="1" w:lastColumn="0" w:noHBand="0" w:noVBand="1"/>
      </w:tblPr>
      <w:tblGrid>
        <w:gridCol w:w="1303"/>
        <w:gridCol w:w="1451"/>
        <w:gridCol w:w="1885"/>
        <w:gridCol w:w="1593"/>
        <w:gridCol w:w="2784"/>
      </w:tblGrid>
      <w:tr w:rsidR="00C05E57" w:rsidRPr="00AF23E4" w14:paraId="4C110145" w14:textId="77777777" w:rsidTr="002775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3" w:type="dxa"/>
          </w:tcPr>
          <w:p w14:paraId="4CB0A2D5" w14:textId="77777777" w:rsidR="00C05E57" w:rsidRPr="00AF23E4" w:rsidRDefault="00C05E57" w:rsidP="002958DD">
            <w:r w:rsidRPr="00AF23E4">
              <w:t>Region / Country</w:t>
            </w:r>
          </w:p>
        </w:tc>
        <w:tc>
          <w:tcPr>
            <w:tcW w:w="1451" w:type="dxa"/>
          </w:tcPr>
          <w:p w14:paraId="2F63B553"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Material Type</w:t>
            </w:r>
          </w:p>
        </w:tc>
        <w:tc>
          <w:tcPr>
            <w:tcW w:w="1885" w:type="dxa"/>
          </w:tcPr>
          <w:p w14:paraId="1F2FF2DE"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Other use</w:t>
            </w:r>
          </w:p>
        </w:tc>
        <w:tc>
          <w:tcPr>
            <w:tcW w:w="1593" w:type="dxa"/>
          </w:tcPr>
          <w:p w14:paraId="0D84ED97"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 xml:space="preserve"> % </w:t>
            </w:r>
            <w:proofErr w:type="gramStart"/>
            <w:r w:rsidRPr="00AF23E4">
              <w:t>split</w:t>
            </w:r>
            <w:proofErr w:type="gramEnd"/>
          </w:p>
        </w:tc>
        <w:tc>
          <w:tcPr>
            <w:tcW w:w="2784" w:type="dxa"/>
          </w:tcPr>
          <w:p w14:paraId="3F9B8383"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Data Source</w:t>
            </w:r>
          </w:p>
        </w:tc>
      </w:tr>
      <w:tr w:rsidR="00C05E57" w:rsidRPr="00AF23E4" w14:paraId="0853BBA9"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tcPr>
          <w:p w14:paraId="436A9540" w14:textId="77777777" w:rsidR="00C05E57" w:rsidRPr="00AF23E4" w:rsidRDefault="00C05E57" w:rsidP="002958DD">
            <w:r w:rsidRPr="00AF23E4">
              <w:t>Europe</w:t>
            </w:r>
          </w:p>
        </w:tc>
        <w:tc>
          <w:tcPr>
            <w:tcW w:w="1451" w:type="dxa"/>
          </w:tcPr>
          <w:p w14:paraId="6AEC8247"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Aluminium</w:t>
            </w:r>
          </w:p>
        </w:tc>
        <w:tc>
          <w:tcPr>
            <w:tcW w:w="1885" w:type="dxa"/>
          </w:tcPr>
          <w:p w14:paraId="0E4EC952"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Remelt to non-can uses</w:t>
            </w:r>
          </w:p>
        </w:tc>
        <w:tc>
          <w:tcPr>
            <w:tcW w:w="1593" w:type="dxa"/>
          </w:tcPr>
          <w:p w14:paraId="7F8DF513" w14:textId="4D07B4E6"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3</w:t>
            </w:r>
            <w:r w:rsidR="005748DF" w:rsidRPr="00AF23E4">
              <w:t>7</w:t>
            </w:r>
            <w:r w:rsidRPr="00AF23E4">
              <w:t>.5%</w:t>
            </w:r>
          </w:p>
        </w:tc>
        <w:tc>
          <w:tcPr>
            <w:tcW w:w="2784" w:type="dxa"/>
          </w:tcPr>
          <w:p w14:paraId="03FFD324"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Assumption based on the 44.3% recycled content in EU aluminium cans</w:t>
            </w:r>
            <w:r w:rsidRPr="00AF23E4">
              <w:rPr>
                <w:vertAlign w:val="superscript"/>
              </w:rPr>
              <w:t>19</w:t>
            </w:r>
          </w:p>
        </w:tc>
      </w:tr>
      <w:tr w:rsidR="006E722D" w:rsidRPr="00AF23E4" w14:paraId="34331515"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tcPr>
          <w:p w14:paraId="0F5302FC" w14:textId="77777777" w:rsidR="006E722D" w:rsidRPr="00AF23E4" w:rsidRDefault="006E722D" w:rsidP="006E722D">
            <w:r w:rsidRPr="00AF23E4">
              <w:t>USA</w:t>
            </w:r>
          </w:p>
        </w:tc>
        <w:tc>
          <w:tcPr>
            <w:tcW w:w="1451" w:type="dxa"/>
          </w:tcPr>
          <w:p w14:paraId="7EA6470C"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Aluminium</w:t>
            </w:r>
          </w:p>
        </w:tc>
        <w:tc>
          <w:tcPr>
            <w:tcW w:w="1885" w:type="dxa"/>
          </w:tcPr>
          <w:p w14:paraId="4C009ED4"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Remelt to non-can uses</w:t>
            </w:r>
          </w:p>
        </w:tc>
        <w:tc>
          <w:tcPr>
            <w:tcW w:w="1593" w:type="dxa"/>
          </w:tcPr>
          <w:p w14:paraId="4EDA1470" w14:textId="7B7EA5F9" w:rsidR="006E722D" w:rsidRPr="003540A8" w:rsidRDefault="006E722D" w:rsidP="006E722D">
            <w:pPr>
              <w:cnfStyle w:val="000000000000" w:firstRow="0" w:lastRow="0" w:firstColumn="0" w:lastColumn="0" w:oddVBand="0" w:evenVBand="0" w:oddHBand="0" w:evenHBand="0" w:firstRowFirstColumn="0" w:firstRowLastColumn="0" w:lastRowFirstColumn="0" w:lastRowLastColumn="0"/>
            </w:pPr>
            <w:r w:rsidRPr="003540A8">
              <w:t>7.4%</w:t>
            </w:r>
          </w:p>
        </w:tc>
        <w:tc>
          <w:tcPr>
            <w:tcW w:w="2784" w:type="dxa"/>
          </w:tcPr>
          <w:p w14:paraId="1F4EFC55" w14:textId="5DB0671B" w:rsidR="006E722D" w:rsidRPr="003540A8" w:rsidRDefault="006E722D" w:rsidP="006E722D">
            <w:pPr>
              <w:cnfStyle w:val="000000000000" w:firstRow="0" w:lastRow="0" w:firstColumn="0" w:lastColumn="0" w:oddVBand="0" w:evenVBand="0" w:oddHBand="0" w:evenHBand="0" w:firstRowFirstColumn="0" w:firstRowLastColumn="0" w:lastRowFirstColumn="0" w:lastRowLastColumn="0"/>
            </w:pPr>
            <w:proofErr w:type="spellStart"/>
            <w:r w:rsidRPr="003540A8">
              <w:t>Aluminum</w:t>
            </w:r>
            <w:proofErr w:type="spellEnd"/>
            <w:r w:rsidRPr="003540A8">
              <w:t xml:space="preserve"> Association and Can Manufacturers Institute</w:t>
            </w:r>
            <w:r w:rsidRPr="003540A8">
              <w:rPr>
                <w:vertAlign w:val="superscript"/>
              </w:rPr>
              <w:fldChar w:fldCharType="begin"/>
            </w:r>
            <w:r w:rsidRPr="003540A8">
              <w:rPr>
                <w:vertAlign w:val="superscript"/>
              </w:rPr>
              <w:instrText xml:space="preserve"> NOTEREF _Ref95728325 \h  \* MERGEFORMAT </w:instrText>
            </w:r>
            <w:r w:rsidRPr="003540A8">
              <w:rPr>
                <w:vertAlign w:val="superscript"/>
              </w:rPr>
            </w:r>
            <w:r w:rsidRPr="003540A8">
              <w:rPr>
                <w:vertAlign w:val="superscript"/>
              </w:rPr>
              <w:fldChar w:fldCharType="separate"/>
            </w:r>
            <w:r w:rsidRPr="003540A8">
              <w:rPr>
                <w:vertAlign w:val="superscript"/>
              </w:rPr>
              <w:t>6</w:t>
            </w:r>
            <w:r w:rsidRPr="003540A8">
              <w:rPr>
                <w:vertAlign w:val="superscript"/>
              </w:rPr>
              <w:fldChar w:fldCharType="end"/>
            </w:r>
          </w:p>
        </w:tc>
      </w:tr>
      <w:tr w:rsidR="006E722D" w:rsidRPr="00AF23E4" w14:paraId="79DE501A"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vMerge w:val="restart"/>
          </w:tcPr>
          <w:p w14:paraId="26BC960E" w14:textId="77777777" w:rsidR="006E722D" w:rsidRPr="00AF23E4" w:rsidRDefault="006E722D" w:rsidP="006E722D">
            <w:r w:rsidRPr="00AF23E4">
              <w:t>Europe / USA</w:t>
            </w:r>
          </w:p>
        </w:tc>
        <w:tc>
          <w:tcPr>
            <w:tcW w:w="1451" w:type="dxa"/>
          </w:tcPr>
          <w:p w14:paraId="2BD55F3E"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PET</w:t>
            </w:r>
          </w:p>
        </w:tc>
        <w:tc>
          <w:tcPr>
            <w:tcW w:w="1885" w:type="dxa"/>
          </w:tcPr>
          <w:p w14:paraId="33B3A44B"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proofErr w:type="spellStart"/>
            <w:r w:rsidRPr="00AF23E4">
              <w:t>rPET</w:t>
            </w:r>
            <w:proofErr w:type="spellEnd"/>
            <w:r w:rsidRPr="00AF23E4">
              <w:t xml:space="preserve"> to non-bottle uses</w:t>
            </w:r>
          </w:p>
        </w:tc>
        <w:tc>
          <w:tcPr>
            <w:tcW w:w="1593" w:type="dxa"/>
          </w:tcPr>
          <w:p w14:paraId="0DB291C3" w14:textId="77777777" w:rsidR="006E722D" w:rsidRPr="003540A8" w:rsidRDefault="006E722D" w:rsidP="006E722D">
            <w:pPr>
              <w:cnfStyle w:val="000000000000" w:firstRow="0" w:lastRow="0" w:firstColumn="0" w:lastColumn="0" w:oddVBand="0" w:evenVBand="0" w:oddHBand="0" w:evenHBand="0" w:firstRowFirstColumn="0" w:firstRowLastColumn="0" w:lastRowFirstColumn="0" w:lastRowLastColumn="0"/>
            </w:pPr>
            <w:r w:rsidRPr="003540A8">
              <w:t>72.0%</w:t>
            </w:r>
          </w:p>
        </w:tc>
        <w:tc>
          <w:tcPr>
            <w:tcW w:w="2784" w:type="dxa"/>
          </w:tcPr>
          <w:p w14:paraId="168EA861" w14:textId="77777777" w:rsidR="006E722D" w:rsidRPr="003540A8" w:rsidRDefault="006E722D" w:rsidP="006E722D">
            <w:pPr>
              <w:cnfStyle w:val="000000000000" w:firstRow="0" w:lastRow="0" w:firstColumn="0" w:lastColumn="0" w:oddVBand="0" w:evenVBand="0" w:oddHBand="0" w:evenHBand="0" w:firstRowFirstColumn="0" w:firstRowLastColumn="0" w:lastRowFirstColumn="0" w:lastRowLastColumn="0"/>
            </w:pPr>
            <w:r w:rsidRPr="003540A8">
              <w:t xml:space="preserve">EFBW, </w:t>
            </w:r>
            <w:proofErr w:type="spellStart"/>
            <w:r w:rsidRPr="003540A8">
              <w:t>Petcore</w:t>
            </w:r>
            <w:proofErr w:type="spellEnd"/>
            <w:r w:rsidRPr="003540A8">
              <w:t xml:space="preserve"> &amp; PRE</w:t>
            </w:r>
            <w:r w:rsidRPr="003540A8">
              <w:rPr>
                <w:vertAlign w:val="superscript"/>
              </w:rPr>
              <w:t>4</w:t>
            </w:r>
          </w:p>
        </w:tc>
      </w:tr>
      <w:tr w:rsidR="006E722D" w:rsidRPr="00AF23E4" w14:paraId="2F900844"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vMerge/>
          </w:tcPr>
          <w:p w14:paraId="60B3DE7E" w14:textId="77777777" w:rsidR="006E722D" w:rsidRPr="00AF23E4" w:rsidRDefault="006E722D" w:rsidP="006E722D"/>
        </w:tc>
        <w:tc>
          <w:tcPr>
            <w:tcW w:w="1451" w:type="dxa"/>
          </w:tcPr>
          <w:p w14:paraId="6F6B7B16"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Glass</w:t>
            </w:r>
          </w:p>
        </w:tc>
        <w:tc>
          <w:tcPr>
            <w:tcW w:w="1885" w:type="dxa"/>
          </w:tcPr>
          <w:p w14:paraId="095DE9BD"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Cullet to non-bottle uses</w:t>
            </w:r>
          </w:p>
        </w:tc>
        <w:tc>
          <w:tcPr>
            <w:tcW w:w="1593" w:type="dxa"/>
          </w:tcPr>
          <w:p w14:paraId="72DCBD1E"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30.0%</w:t>
            </w:r>
          </w:p>
        </w:tc>
        <w:tc>
          <w:tcPr>
            <w:tcW w:w="2784" w:type="dxa"/>
          </w:tcPr>
          <w:p w14:paraId="1950105A"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British Glass</w:t>
            </w:r>
            <w:r w:rsidRPr="00AF23E4">
              <w:rPr>
                <w:rStyle w:val="FootnoteReference"/>
              </w:rPr>
              <w:footnoteReference w:id="30"/>
            </w:r>
          </w:p>
        </w:tc>
      </w:tr>
      <w:tr w:rsidR="006E722D" w:rsidRPr="00AF23E4" w14:paraId="665BA983"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vMerge w:val="restart"/>
          </w:tcPr>
          <w:p w14:paraId="4399DBB0" w14:textId="77777777" w:rsidR="006E722D" w:rsidRPr="00AF23E4" w:rsidRDefault="006E722D" w:rsidP="006E722D">
            <w:r w:rsidRPr="00AF23E4">
              <w:t>Japan</w:t>
            </w:r>
          </w:p>
        </w:tc>
        <w:tc>
          <w:tcPr>
            <w:tcW w:w="1451" w:type="dxa"/>
            <w:vMerge w:val="restart"/>
          </w:tcPr>
          <w:p w14:paraId="008DD79E"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Aluminium</w:t>
            </w:r>
          </w:p>
        </w:tc>
        <w:tc>
          <w:tcPr>
            <w:tcW w:w="1885" w:type="dxa"/>
          </w:tcPr>
          <w:p w14:paraId="5C95725B" w14:textId="3BB3C1D5"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Exported recycling</w:t>
            </w:r>
          </w:p>
        </w:tc>
        <w:tc>
          <w:tcPr>
            <w:tcW w:w="1593" w:type="dxa"/>
          </w:tcPr>
          <w:p w14:paraId="6C510278"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26.9%</w:t>
            </w:r>
          </w:p>
        </w:tc>
        <w:tc>
          <w:tcPr>
            <w:tcW w:w="2784" w:type="dxa"/>
            <w:vMerge w:val="restart"/>
          </w:tcPr>
          <w:p w14:paraId="7AD8B318"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Japanese Aluminium Can Recycling Association</w:t>
            </w:r>
            <w:r w:rsidRPr="00AF23E4">
              <w:rPr>
                <w:vertAlign w:val="superscript"/>
              </w:rPr>
              <w:t>8</w:t>
            </w:r>
          </w:p>
        </w:tc>
      </w:tr>
      <w:tr w:rsidR="006E722D" w:rsidRPr="00AF23E4" w14:paraId="1517BD0C"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vMerge/>
          </w:tcPr>
          <w:p w14:paraId="6582E1ED" w14:textId="77777777" w:rsidR="006E722D" w:rsidRPr="00AF23E4" w:rsidRDefault="006E722D" w:rsidP="006E722D"/>
        </w:tc>
        <w:tc>
          <w:tcPr>
            <w:tcW w:w="1451" w:type="dxa"/>
            <w:vMerge/>
          </w:tcPr>
          <w:p w14:paraId="69222B0B"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p>
        </w:tc>
        <w:tc>
          <w:tcPr>
            <w:tcW w:w="1885" w:type="dxa"/>
          </w:tcPr>
          <w:p w14:paraId="5EDA3F0D"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Remelt to non-can uses</w:t>
            </w:r>
          </w:p>
        </w:tc>
        <w:tc>
          <w:tcPr>
            <w:tcW w:w="1593" w:type="dxa"/>
          </w:tcPr>
          <w:p w14:paraId="75B1D1CD"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33.3%</w:t>
            </w:r>
          </w:p>
        </w:tc>
        <w:tc>
          <w:tcPr>
            <w:tcW w:w="2784" w:type="dxa"/>
            <w:vMerge/>
          </w:tcPr>
          <w:p w14:paraId="41CA9DE2"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p>
        </w:tc>
      </w:tr>
      <w:tr w:rsidR="006E722D" w:rsidRPr="00AF23E4" w14:paraId="6E16FCB4"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vMerge/>
          </w:tcPr>
          <w:p w14:paraId="39A63C09" w14:textId="77777777" w:rsidR="006E722D" w:rsidRPr="00AF23E4" w:rsidRDefault="006E722D" w:rsidP="006E722D"/>
        </w:tc>
        <w:tc>
          <w:tcPr>
            <w:tcW w:w="1451" w:type="dxa"/>
          </w:tcPr>
          <w:p w14:paraId="3959F704" w14:textId="15224EC4"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PET</w:t>
            </w:r>
          </w:p>
        </w:tc>
        <w:tc>
          <w:tcPr>
            <w:tcW w:w="1885" w:type="dxa"/>
          </w:tcPr>
          <w:p w14:paraId="4B6634CF" w14:textId="39088C72"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Exported for recycling</w:t>
            </w:r>
          </w:p>
        </w:tc>
        <w:tc>
          <w:tcPr>
            <w:tcW w:w="1593" w:type="dxa"/>
          </w:tcPr>
          <w:p w14:paraId="2B04D9AB" w14:textId="3E95CD75"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33.3%</w:t>
            </w:r>
          </w:p>
        </w:tc>
        <w:tc>
          <w:tcPr>
            <w:tcW w:w="2784" w:type="dxa"/>
          </w:tcPr>
          <w:p w14:paraId="741F413F" w14:textId="74EDBA93"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The Council for PET Bottle Recycling</w:t>
            </w:r>
            <w:r w:rsidRPr="00AF23E4">
              <w:rPr>
                <w:vertAlign w:val="superscript"/>
              </w:rPr>
              <w:t>9</w:t>
            </w:r>
          </w:p>
        </w:tc>
      </w:tr>
      <w:tr w:rsidR="006E722D" w:rsidRPr="00AF23E4" w14:paraId="50E9879E"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vMerge/>
          </w:tcPr>
          <w:p w14:paraId="4ABC35F2" w14:textId="77777777" w:rsidR="006E722D" w:rsidRPr="00AF23E4" w:rsidRDefault="006E722D" w:rsidP="006E722D"/>
        </w:tc>
        <w:tc>
          <w:tcPr>
            <w:tcW w:w="1451" w:type="dxa"/>
          </w:tcPr>
          <w:p w14:paraId="316E74C9"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PET</w:t>
            </w:r>
          </w:p>
        </w:tc>
        <w:tc>
          <w:tcPr>
            <w:tcW w:w="1885" w:type="dxa"/>
          </w:tcPr>
          <w:p w14:paraId="7582FDC3" w14:textId="563C8C96"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 xml:space="preserve">Domestic </w:t>
            </w:r>
            <w:proofErr w:type="spellStart"/>
            <w:r w:rsidRPr="00AF23E4">
              <w:t>rPET</w:t>
            </w:r>
            <w:proofErr w:type="spellEnd"/>
            <w:r w:rsidRPr="00AF23E4">
              <w:t xml:space="preserve"> to non-bottle uses</w:t>
            </w:r>
          </w:p>
        </w:tc>
        <w:tc>
          <w:tcPr>
            <w:tcW w:w="1593" w:type="dxa"/>
          </w:tcPr>
          <w:p w14:paraId="3D4E0B44" w14:textId="7A1FDFE4"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48.7%</w:t>
            </w:r>
          </w:p>
        </w:tc>
        <w:tc>
          <w:tcPr>
            <w:tcW w:w="2784" w:type="dxa"/>
          </w:tcPr>
          <w:p w14:paraId="7612F90E"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The Council for PET Bottle Recycling</w:t>
            </w:r>
            <w:r w:rsidRPr="00AF23E4">
              <w:rPr>
                <w:vertAlign w:val="superscript"/>
              </w:rPr>
              <w:t>9</w:t>
            </w:r>
          </w:p>
        </w:tc>
      </w:tr>
      <w:tr w:rsidR="006E722D" w:rsidRPr="00AF23E4" w14:paraId="0145C58B"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vMerge/>
          </w:tcPr>
          <w:p w14:paraId="2A04AA37" w14:textId="77777777" w:rsidR="006E722D" w:rsidRPr="00AF23E4" w:rsidRDefault="006E722D" w:rsidP="006E722D"/>
        </w:tc>
        <w:tc>
          <w:tcPr>
            <w:tcW w:w="1451" w:type="dxa"/>
          </w:tcPr>
          <w:p w14:paraId="1002D673"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Glass</w:t>
            </w:r>
          </w:p>
        </w:tc>
        <w:tc>
          <w:tcPr>
            <w:tcW w:w="1885" w:type="dxa"/>
          </w:tcPr>
          <w:p w14:paraId="57E9C4C8"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Cullet to non-bottle uses</w:t>
            </w:r>
          </w:p>
        </w:tc>
        <w:tc>
          <w:tcPr>
            <w:tcW w:w="1593" w:type="dxa"/>
          </w:tcPr>
          <w:p w14:paraId="3E2EFFAD" w14:textId="33DD340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41.7%</w:t>
            </w:r>
          </w:p>
        </w:tc>
        <w:tc>
          <w:tcPr>
            <w:tcW w:w="2784" w:type="dxa"/>
          </w:tcPr>
          <w:p w14:paraId="2C137394"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Glass Bottle 3R Promotion Association</w:t>
            </w:r>
            <w:r w:rsidRPr="00AF23E4">
              <w:rPr>
                <w:vertAlign w:val="superscript"/>
              </w:rPr>
              <w:t>10</w:t>
            </w:r>
          </w:p>
        </w:tc>
      </w:tr>
      <w:tr w:rsidR="006E722D" w:rsidRPr="00AF23E4" w14:paraId="1B68FBD0"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tcPr>
          <w:p w14:paraId="6CB811A0" w14:textId="77777777" w:rsidR="006E722D" w:rsidRPr="00AF23E4" w:rsidRDefault="006E722D" w:rsidP="006E722D">
            <w:r w:rsidRPr="00AF23E4">
              <w:lastRenderedPageBreak/>
              <w:t>Brazil</w:t>
            </w:r>
          </w:p>
        </w:tc>
        <w:tc>
          <w:tcPr>
            <w:tcW w:w="1451" w:type="dxa"/>
          </w:tcPr>
          <w:p w14:paraId="6C8926CD"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Aluminium</w:t>
            </w:r>
          </w:p>
        </w:tc>
        <w:tc>
          <w:tcPr>
            <w:tcW w:w="1885" w:type="dxa"/>
          </w:tcPr>
          <w:p w14:paraId="64A27FA1"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 xml:space="preserve">Remelt to non-can uses </w:t>
            </w:r>
          </w:p>
        </w:tc>
        <w:tc>
          <w:tcPr>
            <w:tcW w:w="1593" w:type="dxa"/>
          </w:tcPr>
          <w:p w14:paraId="490738C0"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35.0%</w:t>
            </w:r>
          </w:p>
        </w:tc>
        <w:tc>
          <w:tcPr>
            <w:tcW w:w="2784" w:type="dxa"/>
          </w:tcPr>
          <w:p w14:paraId="351901DB"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ABAL</w:t>
            </w:r>
            <w:r w:rsidRPr="00AF23E4">
              <w:rPr>
                <w:vertAlign w:val="superscript"/>
              </w:rPr>
              <w:t>3</w:t>
            </w:r>
          </w:p>
        </w:tc>
      </w:tr>
      <w:tr w:rsidR="006E722D" w:rsidRPr="00AF23E4" w14:paraId="0F4A8022"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tcPr>
          <w:p w14:paraId="25911875" w14:textId="77777777" w:rsidR="006E722D" w:rsidRPr="00AF23E4" w:rsidRDefault="006E722D" w:rsidP="006E722D"/>
        </w:tc>
        <w:tc>
          <w:tcPr>
            <w:tcW w:w="1451" w:type="dxa"/>
          </w:tcPr>
          <w:p w14:paraId="4A63F554"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PET</w:t>
            </w:r>
          </w:p>
        </w:tc>
        <w:tc>
          <w:tcPr>
            <w:tcW w:w="1885" w:type="dxa"/>
          </w:tcPr>
          <w:p w14:paraId="77C77386"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proofErr w:type="spellStart"/>
            <w:r w:rsidRPr="00AF23E4">
              <w:t>rPET</w:t>
            </w:r>
            <w:proofErr w:type="spellEnd"/>
            <w:r w:rsidRPr="00AF23E4">
              <w:t xml:space="preserve"> to non-bottle uses</w:t>
            </w:r>
          </w:p>
        </w:tc>
        <w:tc>
          <w:tcPr>
            <w:tcW w:w="1593" w:type="dxa"/>
          </w:tcPr>
          <w:p w14:paraId="39A7DDFB"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73.0%</w:t>
            </w:r>
          </w:p>
        </w:tc>
        <w:tc>
          <w:tcPr>
            <w:tcW w:w="2784" w:type="dxa"/>
          </w:tcPr>
          <w:p w14:paraId="77FBBB39"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Statista (2019)</w:t>
            </w:r>
            <w:r w:rsidRPr="00AF23E4">
              <w:rPr>
                <w:rStyle w:val="FootnoteReference"/>
              </w:rPr>
              <w:footnoteReference w:id="31"/>
            </w:r>
          </w:p>
        </w:tc>
      </w:tr>
      <w:tr w:rsidR="006E722D" w:rsidRPr="00AF23E4" w14:paraId="27BA12A2"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tcPr>
          <w:p w14:paraId="382246BC" w14:textId="77777777" w:rsidR="006E722D" w:rsidRPr="00AF23E4" w:rsidRDefault="006E722D" w:rsidP="006E722D">
            <w:r w:rsidRPr="00AF23E4">
              <w:t>China</w:t>
            </w:r>
          </w:p>
        </w:tc>
        <w:tc>
          <w:tcPr>
            <w:tcW w:w="1451" w:type="dxa"/>
          </w:tcPr>
          <w:p w14:paraId="16005E7C"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Aluminium</w:t>
            </w:r>
          </w:p>
        </w:tc>
        <w:tc>
          <w:tcPr>
            <w:tcW w:w="1885" w:type="dxa"/>
          </w:tcPr>
          <w:p w14:paraId="273579C4"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Remelt to non-can uses</w:t>
            </w:r>
          </w:p>
        </w:tc>
        <w:tc>
          <w:tcPr>
            <w:tcW w:w="1593" w:type="dxa"/>
          </w:tcPr>
          <w:p w14:paraId="498D08F4" w14:textId="08EF3FD3" w:rsidR="006E722D" w:rsidRPr="003540A8" w:rsidRDefault="006E722D" w:rsidP="006E722D">
            <w:pPr>
              <w:cnfStyle w:val="000000000000" w:firstRow="0" w:lastRow="0" w:firstColumn="0" w:lastColumn="0" w:oddVBand="0" w:evenVBand="0" w:oddHBand="0" w:evenHBand="0" w:firstRowFirstColumn="0" w:firstRowLastColumn="0" w:lastRowFirstColumn="0" w:lastRowLastColumn="0"/>
            </w:pPr>
            <w:r w:rsidRPr="003540A8">
              <w:t>99.0%</w:t>
            </w:r>
          </w:p>
        </w:tc>
        <w:tc>
          <w:tcPr>
            <w:tcW w:w="2784" w:type="dxa"/>
          </w:tcPr>
          <w:p w14:paraId="429D4DAF" w14:textId="77777777" w:rsidR="006E722D" w:rsidRPr="003540A8" w:rsidRDefault="006E722D" w:rsidP="006E722D">
            <w:pPr>
              <w:cnfStyle w:val="000000000000" w:firstRow="0" w:lastRow="0" w:firstColumn="0" w:lastColumn="0" w:oddVBand="0" w:evenVBand="0" w:oddHBand="0" w:evenHBand="0" w:firstRowFirstColumn="0" w:firstRowLastColumn="0" w:lastRowFirstColumn="0" w:lastRowLastColumn="0"/>
            </w:pPr>
            <w:r w:rsidRPr="003540A8">
              <w:t>Antaike</w:t>
            </w:r>
            <w:r w:rsidRPr="003540A8">
              <w:rPr>
                <w:vertAlign w:val="superscript"/>
              </w:rPr>
              <w:t>3</w:t>
            </w:r>
          </w:p>
        </w:tc>
      </w:tr>
      <w:tr w:rsidR="006E722D" w:rsidRPr="00AF23E4" w14:paraId="7827154E"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tcPr>
          <w:p w14:paraId="2869A573" w14:textId="77777777" w:rsidR="006E722D" w:rsidRPr="00AF23E4" w:rsidRDefault="006E722D" w:rsidP="006E722D"/>
        </w:tc>
        <w:tc>
          <w:tcPr>
            <w:tcW w:w="1451" w:type="dxa"/>
          </w:tcPr>
          <w:p w14:paraId="77FCE306"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PET</w:t>
            </w:r>
          </w:p>
        </w:tc>
        <w:tc>
          <w:tcPr>
            <w:tcW w:w="1885" w:type="dxa"/>
          </w:tcPr>
          <w:p w14:paraId="3B9E4A80"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proofErr w:type="spellStart"/>
            <w:r w:rsidRPr="00AF23E4">
              <w:t>rPET</w:t>
            </w:r>
            <w:proofErr w:type="spellEnd"/>
            <w:r w:rsidRPr="00AF23E4">
              <w:t xml:space="preserve"> to non-bottle uses</w:t>
            </w:r>
          </w:p>
        </w:tc>
        <w:tc>
          <w:tcPr>
            <w:tcW w:w="1593" w:type="dxa"/>
          </w:tcPr>
          <w:p w14:paraId="429CEAF0" w14:textId="4F75904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95.9%</w:t>
            </w:r>
          </w:p>
        </w:tc>
        <w:tc>
          <w:tcPr>
            <w:tcW w:w="2784" w:type="dxa"/>
          </w:tcPr>
          <w:p w14:paraId="18EDDC3F"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Ma et al. (2020)</w:t>
            </w:r>
            <w:r w:rsidRPr="00AF23E4">
              <w:rPr>
                <w:rStyle w:val="FootnoteReference"/>
              </w:rPr>
              <w:footnoteReference w:id="32"/>
            </w:r>
          </w:p>
        </w:tc>
      </w:tr>
      <w:tr w:rsidR="006E722D" w:rsidRPr="00AF23E4" w14:paraId="59268F4D" w14:textId="77777777" w:rsidTr="002958DD">
        <w:trPr>
          <w:trHeight w:val="58"/>
        </w:trPr>
        <w:tc>
          <w:tcPr>
            <w:cnfStyle w:val="001000000000" w:firstRow="0" w:lastRow="0" w:firstColumn="1" w:lastColumn="0" w:oddVBand="0" w:evenVBand="0" w:oddHBand="0" w:evenHBand="0" w:firstRowFirstColumn="0" w:firstRowLastColumn="0" w:lastRowFirstColumn="0" w:lastRowLastColumn="0"/>
            <w:tcW w:w="1303" w:type="dxa"/>
          </w:tcPr>
          <w:p w14:paraId="0E6948ED" w14:textId="77777777" w:rsidR="006E722D" w:rsidRPr="00AF23E4" w:rsidRDefault="006E722D" w:rsidP="006E722D"/>
        </w:tc>
        <w:tc>
          <w:tcPr>
            <w:tcW w:w="1451" w:type="dxa"/>
          </w:tcPr>
          <w:p w14:paraId="781F5BAD"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Glass</w:t>
            </w:r>
          </w:p>
        </w:tc>
        <w:tc>
          <w:tcPr>
            <w:tcW w:w="1885" w:type="dxa"/>
          </w:tcPr>
          <w:p w14:paraId="660CE2CC"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 xml:space="preserve">Cullet for non-bottle uses </w:t>
            </w:r>
          </w:p>
        </w:tc>
        <w:tc>
          <w:tcPr>
            <w:tcW w:w="1593" w:type="dxa"/>
          </w:tcPr>
          <w:p w14:paraId="17659C21"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60.0%</w:t>
            </w:r>
          </w:p>
        </w:tc>
        <w:tc>
          <w:tcPr>
            <w:tcW w:w="2784" w:type="dxa"/>
          </w:tcPr>
          <w:p w14:paraId="302366AC" w14:textId="77777777" w:rsidR="006E722D" w:rsidRPr="00AF23E4" w:rsidRDefault="006E722D" w:rsidP="006E722D">
            <w:pPr>
              <w:cnfStyle w:val="000000000000" w:firstRow="0" w:lastRow="0" w:firstColumn="0" w:lastColumn="0" w:oddVBand="0" w:evenVBand="0" w:oddHBand="0" w:evenHBand="0" w:firstRowFirstColumn="0" w:firstRowLastColumn="0" w:lastRowFirstColumn="0" w:lastRowLastColumn="0"/>
            </w:pPr>
            <w:r w:rsidRPr="00AF23E4">
              <w:t>Assumption</w:t>
            </w:r>
          </w:p>
        </w:tc>
      </w:tr>
    </w:tbl>
    <w:p w14:paraId="37546D5E" w14:textId="76461D0B" w:rsidR="00C05E57" w:rsidRPr="00AF23E4" w:rsidRDefault="00C05E57" w:rsidP="00C05E57">
      <w:pPr>
        <w:spacing w:before="0" w:after="0"/>
      </w:pPr>
    </w:p>
    <w:p w14:paraId="7AD51678" w14:textId="36D10D0A" w:rsidR="00612641" w:rsidRPr="00AF23E4" w:rsidRDefault="001921C2" w:rsidP="00C05E57">
      <w:pPr>
        <w:spacing w:before="0" w:after="0"/>
      </w:pPr>
      <w:r w:rsidRPr="00AF23E4">
        <w:t xml:space="preserve">In Japan, </w:t>
      </w:r>
      <w:r w:rsidR="00C54A7E" w:rsidRPr="00AF23E4">
        <w:t xml:space="preserve">processed aluminium and PET is exported </w:t>
      </w:r>
      <w:r w:rsidR="009C651A" w:rsidRPr="00AF23E4">
        <w:t>prior to being refabricated. In the case of aluminium, this material is exported to South Korea, where it is</w:t>
      </w:r>
      <w:r w:rsidR="00BD4C2D" w:rsidRPr="00AF23E4">
        <w:t xml:space="preserve"> fabricated into beverage containers and therefore closed-loop recycling. The end destination of </w:t>
      </w:r>
      <w:r w:rsidR="00636604" w:rsidRPr="00AF23E4">
        <w:t>the PET flakes exported from Japan is unknown, and therefore cannot be</w:t>
      </w:r>
      <w:r w:rsidR="00D15999" w:rsidRPr="00AF23E4">
        <w:t xml:space="preserve"> attributed to open- or closed-loop recycling. </w:t>
      </w:r>
      <w:r w:rsidR="00636604" w:rsidRPr="00AF23E4">
        <w:t xml:space="preserve"> </w:t>
      </w:r>
    </w:p>
    <w:p w14:paraId="3956D2C9" w14:textId="77777777" w:rsidR="000A6E2D" w:rsidRPr="00AF23E4" w:rsidRDefault="000A6E2D">
      <w:pPr>
        <w:spacing w:before="0" w:after="0"/>
        <w:rPr>
          <w:rFonts w:ascii="Arial" w:hAnsi="Arial"/>
          <w:b/>
          <w:bCs/>
          <w:iCs/>
          <w:color w:val="00A79D" w:themeColor="accent3"/>
          <w:sz w:val="30"/>
          <w:szCs w:val="28"/>
        </w:rPr>
      </w:pPr>
      <w:r w:rsidRPr="00AF23E4">
        <w:br w:type="page"/>
      </w:r>
    </w:p>
    <w:p w14:paraId="3CF4744F" w14:textId="6754C001" w:rsidR="00C05E57" w:rsidRPr="00AF23E4" w:rsidRDefault="00C05E57" w:rsidP="00C05E57">
      <w:pPr>
        <w:pStyle w:val="Heading2"/>
      </w:pPr>
      <w:r w:rsidRPr="00AF23E4">
        <w:lastRenderedPageBreak/>
        <w:t xml:space="preserve">Recyclability of non-beverage container uses </w:t>
      </w:r>
    </w:p>
    <w:p w14:paraId="091EC748" w14:textId="144E2740" w:rsidR="00C05E57" w:rsidRPr="00AF23E4" w:rsidRDefault="00C05E57" w:rsidP="00C05E57">
      <w:r w:rsidRPr="00AF23E4">
        <w:t xml:space="preserve">Although </w:t>
      </w:r>
      <w:r w:rsidRPr="00AF23E4">
        <w:fldChar w:fldCharType="begin"/>
      </w:r>
      <w:r w:rsidRPr="00AF23E4">
        <w:instrText xml:space="preserve"> REF _Ref84492790 \h </w:instrText>
      </w:r>
      <w:r w:rsidR="00AF23E4">
        <w:instrText xml:space="preserve"> \* MERGEFORMAT </w:instrText>
      </w:r>
      <w:r w:rsidRPr="00AF23E4">
        <w:fldChar w:fldCharType="separate"/>
      </w:r>
      <w:r w:rsidR="001E08D9" w:rsidRPr="00AF23E4">
        <w:t xml:space="preserve">Table </w:t>
      </w:r>
      <w:r w:rsidR="001E08D9" w:rsidRPr="00AF23E4">
        <w:rPr>
          <w:noProof/>
        </w:rPr>
        <w:t>2</w:t>
      </w:r>
      <w:r w:rsidR="001E08D9" w:rsidRPr="00AF23E4">
        <w:noBreakHyphen/>
      </w:r>
      <w:r w:rsidR="001E08D9" w:rsidRPr="00AF23E4">
        <w:rPr>
          <w:noProof/>
        </w:rPr>
        <w:t>6</w:t>
      </w:r>
      <w:r w:rsidRPr="00AF23E4">
        <w:fldChar w:fldCharType="end"/>
      </w:r>
      <w:r w:rsidRPr="00AF23E4">
        <w:t xml:space="preserve"> shows that a proportion of the recycled material is not part of the closed-loop system, some open-loop uses are recyclable. </w:t>
      </w:r>
      <w:r w:rsidRPr="00AF23E4">
        <w:fldChar w:fldCharType="begin"/>
      </w:r>
      <w:r w:rsidRPr="00AF23E4">
        <w:instrText xml:space="preserve"> REF _Ref84494657 \h </w:instrText>
      </w:r>
      <w:r w:rsidR="00AF23E4">
        <w:instrText xml:space="preserve"> \* MERGEFORMAT </w:instrText>
      </w:r>
      <w:r w:rsidRPr="00AF23E4">
        <w:fldChar w:fldCharType="separate"/>
      </w:r>
      <w:r w:rsidR="001E08D9" w:rsidRPr="00AF23E4">
        <w:t xml:space="preserve">Table </w:t>
      </w:r>
      <w:r w:rsidR="001E08D9" w:rsidRPr="00AF23E4">
        <w:rPr>
          <w:noProof/>
        </w:rPr>
        <w:t>2</w:t>
      </w:r>
      <w:r w:rsidR="001E08D9" w:rsidRPr="00AF23E4">
        <w:noBreakHyphen/>
      </w:r>
      <w:r w:rsidR="001E08D9" w:rsidRPr="00AF23E4">
        <w:rPr>
          <w:noProof/>
        </w:rPr>
        <w:t>7</w:t>
      </w:r>
      <w:r w:rsidRPr="00AF23E4">
        <w:fldChar w:fldCharType="end"/>
      </w:r>
      <w:r w:rsidRPr="00AF23E4">
        <w:t xml:space="preserve"> shows the proportion of non-beverage containers uses of recycled aluminium that are recyclable. </w:t>
      </w:r>
    </w:p>
    <w:p w14:paraId="7CCFBAB1" w14:textId="11A42281" w:rsidR="00C05E57" w:rsidRPr="00AF23E4" w:rsidRDefault="00C05E57" w:rsidP="00C05E57">
      <w:pPr>
        <w:pStyle w:val="Caption"/>
      </w:pPr>
      <w:bookmarkStart w:id="9" w:name="_Ref84494657"/>
      <w:r w:rsidRPr="00AF23E4">
        <w:t xml:space="preserve">Table </w:t>
      </w:r>
      <w:r w:rsidR="005D5FDF">
        <w:fldChar w:fldCharType="begin"/>
      </w:r>
      <w:r w:rsidR="005D5FDF">
        <w:instrText xml:space="preserve"> STYLEREF 1 \s </w:instrText>
      </w:r>
      <w:r w:rsidR="005D5FDF">
        <w:fldChar w:fldCharType="separate"/>
      </w:r>
      <w:r w:rsidR="001E08D9" w:rsidRPr="00AF23E4">
        <w:rPr>
          <w:noProof/>
        </w:rPr>
        <w:t>2</w:t>
      </w:r>
      <w:r w:rsidR="005D5FDF">
        <w:rPr>
          <w:noProof/>
        </w:rPr>
        <w:fldChar w:fldCharType="end"/>
      </w:r>
      <w:r w:rsidRPr="00AF23E4">
        <w:noBreakHyphen/>
      </w:r>
      <w:r w:rsidR="005D5FDF">
        <w:fldChar w:fldCharType="begin"/>
      </w:r>
      <w:r w:rsidR="005D5FDF">
        <w:instrText xml:space="preserve"> SEQ Table \* ARABIC \s 1 </w:instrText>
      </w:r>
      <w:r w:rsidR="005D5FDF">
        <w:fldChar w:fldCharType="separate"/>
      </w:r>
      <w:r w:rsidR="001E08D9" w:rsidRPr="00AF23E4">
        <w:rPr>
          <w:noProof/>
        </w:rPr>
        <w:t>7</w:t>
      </w:r>
      <w:r w:rsidR="005D5FDF">
        <w:rPr>
          <w:noProof/>
        </w:rPr>
        <w:fldChar w:fldCharType="end"/>
      </w:r>
      <w:bookmarkEnd w:id="9"/>
      <w:r w:rsidRPr="00AF23E4">
        <w:t>: Data source for recyclability of non-beverage aluminium container uses data.</w:t>
      </w:r>
    </w:p>
    <w:tbl>
      <w:tblPr>
        <w:tblStyle w:val="Eunomia-Totals"/>
        <w:tblW w:w="0" w:type="auto"/>
        <w:tblLook w:val="04A0" w:firstRow="1" w:lastRow="0" w:firstColumn="1" w:lastColumn="0" w:noHBand="0" w:noVBand="1"/>
      </w:tblPr>
      <w:tblGrid>
        <w:gridCol w:w="1183"/>
        <w:gridCol w:w="1382"/>
        <w:gridCol w:w="1643"/>
        <w:gridCol w:w="2053"/>
        <w:gridCol w:w="2755"/>
      </w:tblGrid>
      <w:tr w:rsidR="00C05E57" w:rsidRPr="00AF23E4" w14:paraId="72C4771E" w14:textId="77777777" w:rsidTr="0029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Pr>
          <w:p w14:paraId="483A1894" w14:textId="77777777" w:rsidR="00C05E57" w:rsidRPr="00AF23E4" w:rsidRDefault="00C05E57" w:rsidP="002958DD">
            <w:r w:rsidRPr="00AF23E4">
              <w:t>Region / Country</w:t>
            </w:r>
          </w:p>
        </w:tc>
        <w:tc>
          <w:tcPr>
            <w:tcW w:w="1382" w:type="dxa"/>
          </w:tcPr>
          <w:p w14:paraId="77CDBE67"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Material Type</w:t>
            </w:r>
          </w:p>
        </w:tc>
        <w:tc>
          <w:tcPr>
            <w:tcW w:w="1643" w:type="dxa"/>
          </w:tcPr>
          <w:p w14:paraId="2B0E710D"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Year</w:t>
            </w:r>
          </w:p>
        </w:tc>
        <w:tc>
          <w:tcPr>
            <w:tcW w:w="2053" w:type="dxa"/>
          </w:tcPr>
          <w:p w14:paraId="6413CE78"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 xml:space="preserve">% </w:t>
            </w:r>
            <w:proofErr w:type="gramStart"/>
            <w:r w:rsidRPr="00AF23E4">
              <w:t>of</w:t>
            </w:r>
            <w:proofErr w:type="gramEnd"/>
            <w:r w:rsidRPr="00AF23E4">
              <w:t xml:space="preserve"> non-beverage container uses currently recyclable</w:t>
            </w:r>
          </w:p>
        </w:tc>
        <w:tc>
          <w:tcPr>
            <w:tcW w:w="2755" w:type="dxa"/>
          </w:tcPr>
          <w:p w14:paraId="66E4CE1F" w14:textId="77777777" w:rsidR="00C05E57" w:rsidRPr="00AF23E4" w:rsidRDefault="00C05E57" w:rsidP="002958DD">
            <w:pPr>
              <w:cnfStyle w:val="100000000000" w:firstRow="1" w:lastRow="0" w:firstColumn="0" w:lastColumn="0" w:oddVBand="0" w:evenVBand="0" w:oddHBand="0" w:evenHBand="0" w:firstRowFirstColumn="0" w:firstRowLastColumn="0" w:lastRowFirstColumn="0" w:lastRowLastColumn="0"/>
            </w:pPr>
            <w:r w:rsidRPr="00AF23E4">
              <w:t>Data Source</w:t>
            </w:r>
          </w:p>
        </w:tc>
      </w:tr>
      <w:tr w:rsidR="00C05E57" w:rsidRPr="00AF23E4" w14:paraId="0D05F801" w14:textId="77777777" w:rsidTr="002958DD">
        <w:tc>
          <w:tcPr>
            <w:cnfStyle w:val="001000000000" w:firstRow="0" w:lastRow="0" w:firstColumn="1" w:lastColumn="0" w:oddVBand="0" w:evenVBand="0" w:oddHBand="0" w:evenHBand="0" w:firstRowFirstColumn="0" w:firstRowLastColumn="0" w:lastRowFirstColumn="0" w:lastRowLastColumn="0"/>
            <w:tcW w:w="1183" w:type="dxa"/>
          </w:tcPr>
          <w:p w14:paraId="761A9D66" w14:textId="77777777" w:rsidR="00C05E57" w:rsidRPr="00AF23E4" w:rsidRDefault="00C05E57" w:rsidP="002958DD">
            <w:r w:rsidRPr="00AF23E4">
              <w:t>Europe</w:t>
            </w:r>
          </w:p>
        </w:tc>
        <w:tc>
          <w:tcPr>
            <w:tcW w:w="1382" w:type="dxa"/>
            <w:vMerge w:val="restart"/>
          </w:tcPr>
          <w:p w14:paraId="76155AA5"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Aluminium</w:t>
            </w:r>
          </w:p>
        </w:tc>
        <w:tc>
          <w:tcPr>
            <w:tcW w:w="1643" w:type="dxa"/>
            <w:vMerge w:val="restart"/>
          </w:tcPr>
          <w:p w14:paraId="2C43713E"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2019</w:t>
            </w:r>
          </w:p>
        </w:tc>
        <w:tc>
          <w:tcPr>
            <w:tcW w:w="2053" w:type="dxa"/>
          </w:tcPr>
          <w:p w14:paraId="325C1065"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97.0%</w:t>
            </w:r>
          </w:p>
        </w:tc>
        <w:tc>
          <w:tcPr>
            <w:tcW w:w="2755" w:type="dxa"/>
            <w:vMerge w:val="restart"/>
          </w:tcPr>
          <w:p w14:paraId="10EDC75D" w14:textId="47023F5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International Aluminium Association</w:t>
            </w:r>
            <w:r w:rsidR="00C552DE" w:rsidRPr="00AF23E4">
              <w:rPr>
                <w:vertAlign w:val="superscript"/>
              </w:rPr>
              <w:t>2</w:t>
            </w:r>
          </w:p>
        </w:tc>
      </w:tr>
      <w:tr w:rsidR="00C05E57" w:rsidRPr="00AF23E4" w14:paraId="73C8C929" w14:textId="77777777" w:rsidTr="002958DD">
        <w:tc>
          <w:tcPr>
            <w:cnfStyle w:val="001000000000" w:firstRow="0" w:lastRow="0" w:firstColumn="1" w:lastColumn="0" w:oddVBand="0" w:evenVBand="0" w:oddHBand="0" w:evenHBand="0" w:firstRowFirstColumn="0" w:firstRowLastColumn="0" w:lastRowFirstColumn="0" w:lastRowLastColumn="0"/>
            <w:tcW w:w="1183" w:type="dxa"/>
          </w:tcPr>
          <w:p w14:paraId="39080133" w14:textId="77777777" w:rsidR="00C05E57" w:rsidRPr="00AF23E4" w:rsidRDefault="00C05E57" w:rsidP="002958DD">
            <w:r w:rsidRPr="00AF23E4">
              <w:t>USA</w:t>
            </w:r>
          </w:p>
        </w:tc>
        <w:tc>
          <w:tcPr>
            <w:tcW w:w="1382" w:type="dxa"/>
            <w:vMerge/>
          </w:tcPr>
          <w:p w14:paraId="0322DC45"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1643" w:type="dxa"/>
            <w:vMerge/>
          </w:tcPr>
          <w:p w14:paraId="6B68F544"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2053" w:type="dxa"/>
          </w:tcPr>
          <w:p w14:paraId="3496265F"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98.0%</w:t>
            </w:r>
          </w:p>
        </w:tc>
        <w:tc>
          <w:tcPr>
            <w:tcW w:w="2755" w:type="dxa"/>
            <w:vMerge/>
          </w:tcPr>
          <w:p w14:paraId="7F4ACDDE"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r>
      <w:tr w:rsidR="00C05E57" w:rsidRPr="00AF23E4" w14:paraId="22ED76FC" w14:textId="77777777" w:rsidTr="002958DD">
        <w:tc>
          <w:tcPr>
            <w:cnfStyle w:val="001000000000" w:firstRow="0" w:lastRow="0" w:firstColumn="1" w:lastColumn="0" w:oddVBand="0" w:evenVBand="0" w:oddHBand="0" w:evenHBand="0" w:firstRowFirstColumn="0" w:firstRowLastColumn="0" w:lastRowFirstColumn="0" w:lastRowLastColumn="0"/>
            <w:tcW w:w="1183" w:type="dxa"/>
          </w:tcPr>
          <w:p w14:paraId="78DA327C" w14:textId="77777777" w:rsidR="00C05E57" w:rsidRPr="00AF23E4" w:rsidRDefault="00C05E57" w:rsidP="002958DD">
            <w:r w:rsidRPr="00AF23E4">
              <w:t>Japan</w:t>
            </w:r>
          </w:p>
        </w:tc>
        <w:tc>
          <w:tcPr>
            <w:tcW w:w="1382" w:type="dxa"/>
            <w:vMerge/>
          </w:tcPr>
          <w:p w14:paraId="65CFC458"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1643" w:type="dxa"/>
            <w:vMerge/>
          </w:tcPr>
          <w:p w14:paraId="6EAC4333"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2053" w:type="dxa"/>
          </w:tcPr>
          <w:p w14:paraId="619AF68F"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95.0%</w:t>
            </w:r>
          </w:p>
        </w:tc>
        <w:tc>
          <w:tcPr>
            <w:tcW w:w="2755" w:type="dxa"/>
            <w:vMerge/>
          </w:tcPr>
          <w:p w14:paraId="10F1AFAF"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r>
      <w:tr w:rsidR="00C05E57" w:rsidRPr="00AF23E4" w14:paraId="430146D3" w14:textId="77777777" w:rsidTr="002958DD">
        <w:tc>
          <w:tcPr>
            <w:cnfStyle w:val="001000000000" w:firstRow="0" w:lastRow="0" w:firstColumn="1" w:lastColumn="0" w:oddVBand="0" w:evenVBand="0" w:oddHBand="0" w:evenHBand="0" w:firstRowFirstColumn="0" w:firstRowLastColumn="0" w:lastRowFirstColumn="0" w:lastRowLastColumn="0"/>
            <w:tcW w:w="1183" w:type="dxa"/>
          </w:tcPr>
          <w:p w14:paraId="0AFA740C" w14:textId="77777777" w:rsidR="00C05E57" w:rsidRPr="00AF23E4" w:rsidRDefault="00C05E57" w:rsidP="002958DD">
            <w:r w:rsidRPr="00AF23E4">
              <w:t>Brazil</w:t>
            </w:r>
          </w:p>
        </w:tc>
        <w:tc>
          <w:tcPr>
            <w:tcW w:w="1382" w:type="dxa"/>
            <w:vMerge/>
          </w:tcPr>
          <w:p w14:paraId="4542A350"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1643" w:type="dxa"/>
            <w:vMerge/>
          </w:tcPr>
          <w:p w14:paraId="287FFB52"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2053" w:type="dxa"/>
          </w:tcPr>
          <w:p w14:paraId="50D948A9"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92.0%</w:t>
            </w:r>
          </w:p>
        </w:tc>
        <w:tc>
          <w:tcPr>
            <w:tcW w:w="2755" w:type="dxa"/>
            <w:vMerge/>
          </w:tcPr>
          <w:p w14:paraId="3AC56D5C"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r>
      <w:tr w:rsidR="00C05E57" w:rsidRPr="00AF23E4" w14:paraId="352530A5" w14:textId="77777777" w:rsidTr="002958DD">
        <w:tc>
          <w:tcPr>
            <w:cnfStyle w:val="001000000000" w:firstRow="0" w:lastRow="0" w:firstColumn="1" w:lastColumn="0" w:oddVBand="0" w:evenVBand="0" w:oddHBand="0" w:evenHBand="0" w:firstRowFirstColumn="0" w:firstRowLastColumn="0" w:lastRowFirstColumn="0" w:lastRowLastColumn="0"/>
            <w:tcW w:w="1183" w:type="dxa"/>
          </w:tcPr>
          <w:p w14:paraId="2306F5C7" w14:textId="77777777" w:rsidR="00C05E57" w:rsidRPr="00AF23E4" w:rsidRDefault="00C05E57" w:rsidP="002958DD">
            <w:r w:rsidRPr="00AF23E4">
              <w:t>China</w:t>
            </w:r>
          </w:p>
        </w:tc>
        <w:tc>
          <w:tcPr>
            <w:tcW w:w="1382" w:type="dxa"/>
            <w:vMerge/>
          </w:tcPr>
          <w:p w14:paraId="5D0FA710"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1643" w:type="dxa"/>
            <w:vMerge/>
          </w:tcPr>
          <w:p w14:paraId="3C88ED80"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c>
          <w:tcPr>
            <w:tcW w:w="2053" w:type="dxa"/>
          </w:tcPr>
          <w:p w14:paraId="6C0C156C"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r w:rsidRPr="00AF23E4">
              <w:t>96.0%</w:t>
            </w:r>
          </w:p>
        </w:tc>
        <w:tc>
          <w:tcPr>
            <w:tcW w:w="2755" w:type="dxa"/>
            <w:vMerge/>
          </w:tcPr>
          <w:p w14:paraId="269ECCD8" w14:textId="77777777" w:rsidR="00C05E57" w:rsidRPr="00AF23E4" w:rsidRDefault="00C05E57" w:rsidP="002958DD">
            <w:pPr>
              <w:cnfStyle w:val="000000000000" w:firstRow="0" w:lastRow="0" w:firstColumn="0" w:lastColumn="0" w:oddVBand="0" w:evenVBand="0" w:oddHBand="0" w:evenHBand="0" w:firstRowFirstColumn="0" w:firstRowLastColumn="0" w:lastRowFirstColumn="0" w:lastRowLastColumn="0"/>
            </w:pPr>
          </w:p>
        </w:tc>
      </w:tr>
    </w:tbl>
    <w:p w14:paraId="711DE14A" w14:textId="3E19D5E2" w:rsidR="00EA02D8" w:rsidRPr="00FE486A" w:rsidDel="00D0729D" w:rsidRDefault="00C05E57" w:rsidP="00300E69">
      <w:pPr>
        <w:rPr>
          <w:rFonts w:eastAsiaTheme="minorEastAsia" w:cstheme="minorBidi"/>
          <w:b/>
          <w:bCs/>
          <w:color w:val="00A79D" w:themeColor="accent3"/>
          <w:sz w:val="40"/>
          <w:szCs w:val="40"/>
          <w:vertAlign w:val="superscript"/>
        </w:rPr>
      </w:pPr>
      <w:r w:rsidRPr="00AF23E4">
        <w:t xml:space="preserve">For </w:t>
      </w:r>
      <w:proofErr w:type="spellStart"/>
      <w:r w:rsidRPr="00AF23E4">
        <w:t>rPET</w:t>
      </w:r>
      <w:proofErr w:type="spellEnd"/>
      <w:r w:rsidRPr="00AF23E4">
        <w:t xml:space="preserve">, the other uses include trays, films, </w:t>
      </w:r>
      <w:proofErr w:type="gramStart"/>
      <w:r w:rsidRPr="00AF23E4">
        <w:t>fibres</w:t>
      </w:r>
      <w:proofErr w:type="gramEnd"/>
      <w:r w:rsidRPr="00AF23E4">
        <w:t xml:space="preserve"> and strapping. In Europe, the US and Japan, it has been assumed that 20% of trays are currently recycled. For glass, it has been assumed that no other uses are recyclable as the predominant other use is for aggregates.</w:t>
      </w:r>
    </w:p>
    <w:sectPr w:rsidR="00EA02D8" w:rsidRPr="00FE486A" w:rsidDel="00D0729D" w:rsidSect="002E5634">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E9C1" w14:textId="77777777" w:rsidR="005D5FDF" w:rsidRDefault="005D5FDF" w:rsidP="00EE4AC2">
      <w:r>
        <w:separator/>
      </w:r>
    </w:p>
    <w:p w14:paraId="70775525" w14:textId="77777777" w:rsidR="005D5FDF" w:rsidRDefault="005D5FDF" w:rsidP="00EE4AC2"/>
  </w:endnote>
  <w:endnote w:type="continuationSeparator" w:id="0">
    <w:p w14:paraId="038F4C59" w14:textId="77777777" w:rsidR="005D5FDF" w:rsidRDefault="005D5FDF" w:rsidP="00EE4AC2">
      <w:r>
        <w:continuationSeparator/>
      </w:r>
    </w:p>
    <w:p w14:paraId="2B70A73C" w14:textId="77777777" w:rsidR="005D5FDF" w:rsidRDefault="005D5FDF" w:rsidP="00EE4AC2"/>
  </w:endnote>
  <w:endnote w:type="continuationNotice" w:id="1">
    <w:p w14:paraId="0B5B6B54" w14:textId="77777777" w:rsidR="005D5FDF" w:rsidRDefault="005D5F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5EA0" w14:textId="77777777" w:rsidR="002E5634" w:rsidRDefault="005D5FDF">
    <w:pPr>
      <w:pStyle w:val="Footer"/>
      <w:rPr>
        <w:noProof/>
      </w:rPr>
    </w:pPr>
    <w:sdt>
      <w:sdtPr>
        <w:rPr>
          <w:b/>
        </w:rPr>
        <w:id w:val="-1828594300"/>
        <w:docPartObj>
          <w:docPartGallery w:val="Page Numbers (Bottom of Page)"/>
          <w:docPartUnique/>
        </w:docPartObj>
      </w:sdtPr>
      <w:sdtEndPr>
        <w:rPr>
          <w:b w:val="0"/>
          <w:noProof/>
        </w:rPr>
      </w:sdtEndPr>
      <w:sdtContent>
        <w:r w:rsidR="002E5634" w:rsidRPr="00A07D71">
          <w:fldChar w:fldCharType="begin"/>
        </w:r>
        <w:r w:rsidR="002E5634" w:rsidRPr="00A07D71">
          <w:instrText xml:space="preserve"> PAGE   \* MERGEFORMAT </w:instrText>
        </w:r>
        <w:r w:rsidR="002E5634" w:rsidRPr="00A07D71">
          <w:fldChar w:fldCharType="separate"/>
        </w:r>
        <w:r w:rsidR="00707FB2">
          <w:rPr>
            <w:noProof/>
          </w:rPr>
          <w:t>2</w:t>
        </w:r>
        <w:r w:rsidR="002E5634" w:rsidRPr="00A07D71">
          <w:rPr>
            <w:noProof/>
          </w:rPr>
          <w:fldChar w:fldCharType="end"/>
        </w:r>
        <w:r w:rsidR="002E5634">
          <w:rPr>
            <w:b/>
          </w:rPr>
          <w:tab/>
        </w:r>
        <w:r w:rsidR="002E5634">
          <w:rPr>
            <w:b/>
          </w:rPr>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528441"/>
      <w:docPartObj>
        <w:docPartGallery w:val="Page Numbers (Bottom of Page)"/>
        <w:docPartUnique/>
      </w:docPartObj>
    </w:sdtPr>
    <w:sdtEndPr>
      <w:rPr>
        <w:noProof/>
      </w:rPr>
    </w:sdtEndPr>
    <w:sdtContent>
      <w:p w14:paraId="09E06FA7" w14:textId="3FABD345" w:rsidR="008C29A6" w:rsidRDefault="002E5634" w:rsidP="008C29A6">
        <w:pPr>
          <w:pStyle w:val="Footer"/>
        </w:pPr>
        <w:r>
          <w:rPr>
            <w:b/>
          </w:rPr>
          <w:tab/>
        </w:r>
        <w:r>
          <w:rPr>
            <w:b/>
          </w:rPr>
          <w:tab/>
        </w:r>
        <w:r w:rsidRPr="00A07D71">
          <w:fldChar w:fldCharType="begin"/>
        </w:r>
        <w:r w:rsidRPr="00A07D71">
          <w:instrText xml:space="preserve"> PAGE   \* MERGEFORMAT </w:instrText>
        </w:r>
        <w:r w:rsidRPr="00A07D71">
          <w:fldChar w:fldCharType="separate"/>
        </w:r>
        <w:r w:rsidR="00707FB2">
          <w:rPr>
            <w:noProof/>
          </w:rPr>
          <w:t>1</w:t>
        </w:r>
        <w:r w:rsidRPr="00A07D71">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949F" w14:textId="77777777" w:rsidR="008C29A6" w:rsidRDefault="005D5FDF" w:rsidP="008C29A6">
    <w:pPr>
      <w:pStyle w:val="Footer"/>
    </w:pPr>
    <w:sdt>
      <w:sdtPr>
        <w:id w:val="1677151221"/>
        <w:docPartObj>
          <w:docPartGallery w:val="Page Numbers (Bottom of Page)"/>
          <w:docPartUnique/>
        </w:docPartObj>
      </w:sdtPr>
      <w:sdtEndPr>
        <w:rPr>
          <w:noProof/>
        </w:rPr>
      </w:sdtEndPr>
      <w:sdtContent>
        <w:r w:rsidR="008C29A6">
          <w:rPr>
            <w:b/>
          </w:rPr>
          <w:t>BRIEFING NOTE</w:t>
        </w:r>
        <w:r w:rsidR="008C29A6" w:rsidRPr="00A07D71">
          <w:t xml:space="preserve"> </w:t>
        </w:r>
        <w:r w:rsidR="008C29A6">
          <w:rPr>
            <w:b/>
          </w:rPr>
          <w:tab/>
        </w:r>
        <w:r w:rsidR="008C29A6">
          <w:rPr>
            <w:b/>
          </w:rPr>
          <w:tab/>
        </w:r>
        <w:r w:rsidR="008C29A6" w:rsidRPr="00A07D71">
          <w:fldChar w:fldCharType="begin"/>
        </w:r>
        <w:r w:rsidR="008C29A6" w:rsidRPr="00A07D71">
          <w:instrText xml:space="preserve"> PAGE   \* MERGEFORMAT </w:instrText>
        </w:r>
        <w:r w:rsidR="008C29A6" w:rsidRPr="00A07D71">
          <w:fldChar w:fldCharType="separate"/>
        </w:r>
        <w:r w:rsidR="002E5634">
          <w:rPr>
            <w:noProof/>
          </w:rPr>
          <w:t>1</w:t>
        </w:r>
        <w:r w:rsidR="008C29A6" w:rsidRPr="00A07D71">
          <w:rPr>
            <w:noProof/>
          </w:rPr>
          <w:fldChar w:fldCharType="end"/>
        </w:r>
      </w:sdtContent>
    </w:sdt>
  </w:p>
  <w:p w14:paraId="37036D2E" w14:textId="77777777" w:rsidR="008C29A6" w:rsidRDefault="008C29A6" w:rsidP="008C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84BD" w14:textId="77777777" w:rsidR="005D5FDF" w:rsidRDefault="005D5FDF" w:rsidP="00EE4AC2">
      <w:r>
        <w:separator/>
      </w:r>
    </w:p>
    <w:p w14:paraId="1C2A1FAD" w14:textId="77777777" w:rsidR="005D5FDF" w:rsidRDefault="005D5FDF" w:rsidP="00EE4AC2"/>
  </w:footnote>
  <w:footnote w:type="continuationSeparator" w:id="0">
    <w:p w14:paraId="0F600494" w14:textId="77777777" w:rsidR="005D5FDF" w:rsidRDefault="005D5FDF" w:rsidP="00EE4AC2">
      <w:r>
        <w:continuationSeparator/>
      </w:r>
    </w:p>
    <w:p w14:paraId="719C6BDE" w14:textId="77777777" w:rsidR="005D5FDF" w:rsidRDefault="005D5FDF" w:rsidP="00EE4AC2"/>
  </w:footnote>
  <w:footnote w:type="continuationNotice" w:id="1">
    <w:p w14:paraId="5AD52B88" w14:textId="77777777" w:rsidR="005D5FDF" w:rsidRDefault="005D5FDF">
      <w:pPr>
        <w:spacing w:before="0" w:after="0"/>
      </w:pPr>
    </w:p>
  </w:footnote>
  <w:footnote w:id="2">
    <w:p w14:paraId="06662DF3" w14:textId="77777777" w:rsidR="00C05E57" w:rsidRDefault="00C05E57" w:rsidP="006E3605">
      <w:pPr>
        <w:pStyle w:val="FootnoteText"/>
      </w:pPr>
      <w:r>
        <w:rPr>
          <w:rStyle w:val="FootnoteReference"/>
        </w:rPr>
        <w:footnoteRef/>
      </w:r>
      <w:r>
        <w:t xml:space="preserve"> Europe is defined as the 27 member states of the European Union, Iceland, Norway, </w:t>
      </w:r>
      <w:proofErr w:type="gramStart"/>
      <w:r>
        <w:t>Switzerland</w:t>
      </w:r>
      <w:proofErr w:type="gramEnd"/>
      <w:r>
        <w:t xml:space="preserve"> and the United Kingdom. </w:t>
      </w:r>
    </w:p>
  </w:footnote>
  <w:footnote w:id="3">
    <w:p w14:paraId="10D2E52B" w14:textId="10D93972" w:rsidR="006C269D" w:rsidRDefault="006C269D" w:rsidP="006E3605">
      <w:pPr>
        <w:pStyle w:val="FootnoteText"/>
      </w:pPr>
      <w:r>
        <w:rPr>
          <w:rStyle w:val="FootnoteReference"/>
        </w:rPr>
        <w:footnoteRef/>
      </w:r>
      <w:r>
        <w:t xml:space="preserve"> Personal communication. </w:t>
      </w:r>
    </w:p>
  </w:footnote>
  <w:footnote w:id="4">
    <w:p w14:paraId="67296C91" w14:textId="06699AC3" w:rsidR="006E3605" w:rsidRPr="00CF7066" w:rsidRDefault="006E3605" w:rsidP="006E3605">
      <w:pPr>
        <w:pStyle w:val="FootnoteText"/>
      </w:pPr>
      <w:r>
        <w:rPr>
          <w:rStyle w:val="FootnoteReference"/>
        </w:rPr>
        <w:footnoteRef/>
      </w:r>
      <w:r>
        <w:t xml:space="preserve"> Labberton, M. (2021) </w:t>
      </w:r>
      <w:r w:rsidR="00CF7066">
        <w:rPr>
          <w:i/>
          <w:iCs/>
        </w:rPr>
        <w:t>Aluminium beverage can recycling remains at a high 76% in 2019</w:t>
      </w:r>
      <w:r w:rsidR="00CF7066">
        <w:t xml:space="preserve">; available </w:t>
      </w:r>
      <w:hyperlink r:id="rId1" w:history="1">
        <w:r w:rsidR="00CF7066" w:rsidRPr="00CF7066">
          <w:rPr>
            <w:rStyle w:val="Hyperlink"/>
            <w:rFonts w:asciiTheme="minorHAnsi" w:hAnsiTheme="minorHAnsi"/>
          </w:rPr>
          <w:t>here</w:t>
        </w:r>
      </w:hyperlink>
      <w:r w:rsidR="00CF7066">
        <w:t xml:space="preserve">. </w:t>
      </w:r>
    </w:p>
  </w:footnote>
  <w:footnote w:id="5">
    <w:p w14:paraId="27A90891" w14:textId="77777777"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{"citationID":"xqYN3386","properties":{"formattedCitation":"EFBW, Petcore Europe and Plastics Recyclers Europe (2020) {\\i{}PET Market in Europe - State of Play: Production, Collection and Recycling Data}, 2020","plainCitation":"EFBW, Petcore Europe and Plastics Recyclers Europe (2020) PET Market in Europe - State of Play: Production, Collection and Recycling Data, 2020","noteIndex":4},"citationItems":[{"id":26976,"uris":["http://zotero.org/groups/162180/items/RQLPZGEU"],"uri":["http://zotero.org/groups/162180/items/RQLPZGEU"],"itemData":{"id":26976,"type":"report","title":"PET Market in Europe - State of Play: Production, Collection and Recycling Data","author":[{"literal":"EFBW, Petcore Europe and Plastics Recyclers Europe"}],"issued":{"date-parts":[["2020"]]}}}],"schema":"https://github.com/citation-style-language/schema/raw/master/csl-citation.json"} </w:instrText>
      </w:r>
      <w:r>
        <w:fldChar w:fldCharType="separate"/>
      </w:r>
      <w:r w:rsidRPr="00AC1FCE">
        <w:rPr>
          <w:rFonts w:ascii="Calibri" w:hAnsi="Calibri" w:cs="Calibri"/>
          <w:szCs w:val="24"/>
        </w:rPr>
        <w:t xml:space="preserve">EFBW, Petcore Europe and Plastics Recyclers Europe (2020) </w:t>
      </w:r>
      <w:r w:rsidRPr="00AC1FCE">
        <w:rPr>
          <w:rFonts w:ascii="Calibri" w:hAnsi="Calibri" w:cs="Calibri"/>
          <w:i/>
          <w:iCs/>
          <w:szCs w:val="24"/>
        </w:rPr>
        <w:t>PET Market in Europe - State of Play: Production, Collection and Recycling Data</w:t>
      </w:r>
      <w:r w:rsidRPr="00AC1FCE">
        <w:rPr>
          <w:rFonts w:ascii="Calibri" w:hAnsi="Calibri" w:cs="Calibri"/>
          <w:szCs w:val="24"/>
        </w:rPr>
        <w:t>, 2020</w:t>
      </w:r>
      <w:r>
        <w:fldChar w:fldCharType="end"/>
      </w:r>
    </w:p>
  </w:footnote>
  <w:footnote w:id="6">
    <w:p w14:paraId="1ABA7AA5" w14:textId="77777777"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{"citationID":"TYSt7FcQ","properties":{"formattedCitation":"FEVE (2021) Glass Recycling Statistics (2018)","plainCitation":"FEVE (2021) Glass Recycling Statistics (2018)","noteIndex":5},"citationItems":[{"id":53818,"uris":["http://zotero.org/groups/162180/items/PBFTPU6U"],"uri":["http://zotero.org/groups/162180/items/PBFTPU6U"],"itemData":{"id":53818,"type":"article","title":"Glass Recycling Statistics (2018)","author":[{"family":"FEVE","given":""}],"issued":{"date-parts":[["2021"]]}}}],"schema":"https://github.com/citation-style-language/schema/raw/master/csl-citation.json"} </w:instrText>
      </w:r>
      <w:r>
        <w:fldChar w:fldCharType="separate"/>
      </w:r>
      <w:r w:rsidRPr="00A74409">
        <w:rPr>
          <w:rFonts w:ascii="Calibri" w:hAnsi="Calibri" w:cs="Calibri"/>
        </w:rPr>
        <w:t>FEVE (2021) Glass Recycling Statistics (2018)</w:t>
      </w:r>
      <w:r>
        <w:fldChar w:fldCharType="end"/>
      </w:r>
      <w:r>
        <w:t xml:space="preserve">; available </w:t>
      </w:r>
      <w:hyperlink r:id="rId2" w:history="1">
        <w:r w:rsidRPr="007A76B5">
          <w:rPr>
            <w:rStyle w:val="Hyperlink"/>
            <w:rFonts w:asciiTheme="minorHAnsi" w:hAnsiTheme="minorHAnsi"/>
          </w:rPr>
          <w:t>here</w:t>
        </w:r>
      </w:hyperlink>
      <w:r>
        <w:t>.</w:t>
      </w:r>
    </w:p>
  </w:footnote>
  <w:footnote w:id="7">
    <w:p w14:paraId="03B2CED5" w14:textId="14380E02" w:rsidR="00C97244" w:rsidRDefault="00C97244" w:rsidP="006E3605">
      <w:pPr>
        <w:pStyle w:val="FootnoteText"/>
      </w:pPr>
      <w:r>
        <w:rPr>
          <w:rStyle w:val="FootnoteReference"/>
        </w:rPr>
        <w:footnoteRef/>
      </w:r>
      <w:r>
        <w:t xml:space="preserve"> </w:t>
      </w:r>
      <w:r>
        <w:fldChar w:fldCharType="begin"/>
      </w:r>
      <w:r>
        <w:instrText xml:space="preserve"> ADDIN ZOTERO_ITEM CSL_CITATION {"citationID":"5OodbBsR","properties":{"formattedCitation":"Aluminium Association, and Can Manufacturers Institute (2021) The Aluminum Can Advantage Sustainability Key Performance Indicators","plainCitation":"Aluminium Association, and Can Manufacturers Institute (2021) The Aluminum Can Advantage Sustainability Key Performance Indicators","noteIndex":6},"citationItems":[{"id":53816,"uris":["http://zotero.org/groups/162180/items/2MGXV7VR"],"uri":["http://zotero.org/groups/162180/items/2MGXV7VR"],"itemData":{"id":53816,"type":"article","title":"The Aluminum Can Advantage Sustainability Key Performance Indicators","author":[{"family":"Aluminium Association","given":""},{"family":"Can Manufacturers Institute","given":""}],"issued":{"date-parts":[["2021",11]]}}}],"schema":"https://github.com/citation-style-language/schema/raw/master/csl-citation.json"} </w:instrText>
      </w:r>
      <w:r>
        <w:fldChar w:fldCharType="separate"/>
      </w:r>
      <w:r w:rsidRPr="00C97244">
        <w:rPr>
          <w:rFonts w:ascii="Calibri" w:hAnsi="Calibri" w:cs="Calibri"/>
        </w:rPr>
        <w:t>Aluminium Association, and Can Manufacturers Institute (2021) The Aluminum Can Advantage Sustainability Key Performance Indicators</w:t>
      </w:r>
      <w:r>
        <w:fldChar w:fldCharType="end"/>
      </w:r>
    </w:p>
  </w:footnote>
  <w:footnote w:id="8">
    <w:p w14:paraId="0C54B12D" w14:textId="7CA25CE3" w:rsidR="00CF7066" w:rsidRDefault="00CF7066">
      <w:pPr>
        <w:pStyle w:val="FootnoteText"/>
      </w:pPr>
      <w:r>
        <w:rPr>
          <w:rStyle w:val="FootnoteReference"/>
        </w:rPr>
        <w:footnoteRef/>
      </w:r>
      <w:r>
        <w:t xml:space="preserve"> </w:t>
      </w:r>
      <w:r>
        <w:fldChar w:fldCharType="begin"/>
      </w:r>
      <w:r>
        <w:instrText xml:space="preserve"> ADDIN ZOTERO_ITEM CSL_CITATION {"citationID":"68hpdyrX","properties":{"formattedCitation":"Eunomia Research &amp; Consulting (2021) The 50 States of Recycling: A State-by-State Assessment of Containers and Packaging Recycling Rates","plainCitation":"Eunomia Research &amp; Consulting (2021) The 50 States of Recycling: A State-by-State Assessment of Containers and Packaging Recycling Rates","noteIndex":9},"citationItems":[{"id":53761,"uris":["http://zotero.org/groups/162180/items/HRMZ6MXH"],"uri":["http://zotero.org/groups/162180/items/HRMZ6MXH"],"itemData":{"id":53761,"type":"article","title":"The 50 States of Recycling: A State-by-State Assessment of Containers and Packaging Recycling Rates","author":[{"family":"Eunomia Research &amp; Consulting","given":""}],"issued":{"date-parts":[["2021"]]}}}],"schema":"https://github.com/citation-style-language/schema/raw/master/csl-citation.json"} </w:instrText>
      </w:r>
      <w:r>
        <w:fldChar w:fldCharType="separate"/>
      </w:r>
      <w:r w:rsidRPr="00CF7066">
        <w:rPr>
          <w:rFonts w:ascii="Calibri" w:hAnsi="Calibri" w:cs="Calibri"/>
        </w:rPr>
        <w:t>Eunomia Research &amp; Consulting (2021) The 50 States of Recycling: A State-by-State Assessment of Containers and Packaging Recycling Rates</w:t>
      </w:r>
      <w:r>
        <w:fldChar w:fldCharType="end"/>
      </w:r>
    </w:p>
  </w:footnote>
  <w:footnote w:id="9">
    <w:p w14:paraId="0B70F51D" w14:textId="77777777" w:rsidR="00C05E57" w:rsidRDefault="00C05E57" w:rsidP="006E3605">
      <w:pPr>
        <w:pStyle w:val="FootnoteText"/>
      </w:pPr>
      <w:r>
        <w:rPr>
          <w:rStyle w:val="FootnoteReference"/>
        </w:rPr>
        <w:footnoteRef/>
      </w:r>
      <w:r>
        <w:t xml:space="preserve"> Japanese Aluminium Can Recycling Association (2021): </w:t>
      </w:r>
      <w:hyperlink r:id="rId3" w:history="1">
        <w:r w:rsidRPr="002E413D">
          <w:rPr>
            <w:rStyle w:val="Hyperlink"/>
            <w:rFonts w:asciiTheme="minorHAnsi" w:hAnsiTheme="minorHAnsi"/>
          </w:rPr>
          <w:t>http://www.alumi-can.or.jp/publics/index/62/</w:t>
        </w:r>
      </w:hyperlink>
      <w:r>
        <w:t xml:space="preserve"> </w:t>
      </w:r>
    </w:p>
  </w:footnote>
  <w:footnote w:id="10">
    <w:p w14:paraId="07780A3E" w14:textId="77777777" w:rsidR="00C05E57" w:rsidRDefault="00C05E57" w:rsidP="006E3605">
      <w:pPr>
        <w:pStyle w:val="FootnoteText"/>
      </w:pPr>
      <w:r>
        <w:rPr>
          <w:rStyle w:val="FootnoteReference"/>
        </w:rPr>
        <w:footnoteRef/>
      </w:r>
      <w:r>
        <w:t xml:space="preserve"> The Council for PET Bottle Recycling (2021): </w:t>
      </w:r>
      <w:hyperlink r:id="rId4" w:history="1">
        <w:r w:rsidRPr="002E413D">
          <w:rPr>
            <w:rStyle w:val="Hyperlink"/>
            <w:rFonts w:asciiTheme="minorHAnsi" w:hAnsiTheme="minorHAnsi"/>
          </w:rPr>
          <w:t>https://www.petbottle-rec.gr.jp/english/</w:t>
        </w:r>
      </w:hyperlink>
      <w:r>
        <w:t xml:space="preserve"> </w:t>
      </w:r>
    </w:p>
  </w:footnote>
  <w:footnote w:id="11">
    <w:p w14:paraId="232DA28C" w14:textId="77777777" w:rsidR="00C05E57" w:rsidRDefault="00C05E57" w:rsidP="006E3605">
      <w:pPr>
        <w:pStyle w:val="FootnoteText"/>
      </w:pPr>
      <w:r>
        <w:rPr>
          <w:rStyle w:val="FootnoteReference"/>
        </w:rPr>
        <w:footnoteRef/>
      </w:r>
      <w:r>
        <w:t xml:space="preserve"> Glass Bottle 3R Promotion Association (2021): </w:t>
      </w:r>
      <w:hyperlink r:id="rId5" w:history="1">
        <w:r w:rsidRPr="002E413D">
          <w:rPr>
            <w:rStyle w:val="Hyperlink"/>
            <w:rFonts w:asciiTheme="minorHAnsi" w:hAnsiTheme="minorHAnsi"/>
          </w:rPr>
          <w:t>https://www.glass-3r.jp/</w:t>
        </w:r>
      </w:hyperlink>
      <w:r>
        <w:t xml:space="preserve"> </w:t>
      </w:r>
    </w:p>
  </w:footnote>
  <w:footnote w:id="12">
    <w:p w14:paraId="28C1AD47" w14:textId="0BFB4170"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{"citationID":"3yluE3zj","properties":{"formattedCitation":"SINIR (2018) Annex II-III-IV-V of \\uc0\\u8216{}The Sector Agreement for the Implementation of the Reverse Packaging Logistics System in General\\uc0\\u8217{}","plainCitation":"SINIR (2018) Annex II-III-IV-V of ‘The Sector Agreement for the Implementation of the Reverse Packaging Logistics System in General’","noteIndex":11},"citationItems":[{"id":54763,"uris":["http://zotero.org/groups/162180/items/ZPMZIX2D"],"uri":["http://zotero.org/groups/162180/items/ZPMZIX2D"],"itemData":{"id":54763,"type":"article","language":"Portuguese","title":"Annex II-III-IV-V of 'The Sector Agreement for the Implementation of the Reverse Packaging Logistics System in General'","author":[{"family":"SINIR","given":""}],"issued":{"date-parts":[["2018"]]}}}],"schema":"https://github.com/citation-style-language/schema/raw/master/csl-citation.json"} </w:instrText>
      </w:r>
      <w:r>
        <w:fldChar w:fldCharType="separate"/>
      </w:r>
      <w:r w:rsidRPr="00C25E8B">
        <w:rPr>
          <w:rFonts w:ascii="Calibri" w:hAnsi="Calibri" w:cs="Calibri"/>
          <w:szCs w:val="24"/>
        </w:rPr>
        <w:t>SINIR (2018) Annex II-III-IV-V of ‘The Sector Agreement for the Implementation of the Reverse Packaging Logistics System in General’</w:t>
      </w:r>
      <w:r>
        <w:fldChar w:fldCharType="end"/>
      </w:r>
      <w:r w:rsidR="0005699D">
        <w:t xml:space="preserve">; available </w:t>
      </w:r>
      <w:hyperlink r:id="rId6" w:history="1">
        <w:r w:rsidR="0005699D" w:rsidRPr="008F21EE">
          <w:rPr>
            <w:rStyle w:val="Hyperlink"/>
            <w:rFonts w:asciiTheme="minorHAnsi" w:hAnsiTheme="minorHAnsi"/>
          </w:rPr>
          <w:t>here</w:t>
        </w:r>
      </w:hyperlink>
      <w:r w:rsidR="0005699D">
        <w:t xml:space="preserve">. </w:t>
      </w:r>
    </w:p>
  </w:footnote>
  <w:footnote w:id="13">
    <w:p w14:paraId="29213D28" w14:textId="55E4BB6C"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{"citationID":"cMRE5f2X","properties":{"formattedCitation":"Reloop (2020) Global Deposit Book 2020: An Overview of Deposit Systems for One-way Beverage Containers","plainCitation":"Reloop (2020) Global Deposit Book 2020: An Overview of Deposit Systems for One-way Beverage Containers","noteIndex":11},"citationItems":[{"id":53586,"uris":["http://zotero.org/groups/162180/items/VGQV6YJK"],"uri":["http://zotero.org/groups/162180/items/VGQV6YJK"],"itemData":{"id":53586,"type":"article","title":"Global Deposit Book 2020: An Overview of Deposit Systems for One-way Beverage Containers","author":[{"family":"Reloop","given":""}],"issued":{"date-parts":[["2020"]]}}}],"schema":"https://github.com/citation-style-language/schema/raw/master/csl-citation.json"} </w:instrText>
      </w:r>
      <w:r>
        <w:fldChar w:fldCharType="separate"/>
      </w:r>
      <w:r w:rsidRPr="009D06B5">
        <w:rPr>
          <w:rFonts w:ascii="Calibri" w:hAnsi="Calibri" w:cs="Calibri"/>
        </w:rPr>
        <w:t>Reloop (2020)</w:t>
      </w:r>
      <w:r w:rsidRPr="00FE486A">
        <w:rPr>
          <w:rFonts w:ascii="Calibri" w:hAnsi="Calibri" w:cs="Calibri"/>
          <w:i/>
          <w:iCs/>
        </w:rPr>
        <w:t xml:space="preserve"> Global Deposit Book 2020: An Overview of Deposit Systems for One-way Beverage Containers</w:t>
      </w:r>
      <w:r>
        <w:fldChar w:fldCharType="end"/>
      </w:r>
    </w:p>
  </w:footnote>
  <w:footnote w:id="14">
    <w:p w14:paraId="7B34027E" w14:textId="77777777" w:rsidR="00C05E57" w:rsidRDefault="00C05E57" w:rsidP="006E3605">
      <w:pPr>
        <w:pStyle w:val="FootnoteText"/>
      </w:pPr>
      <w:r>
        <w:rPr>
          <w:rStyle w:val="FootnoteReference"/>
        </w:rPr>
        <w:footnoteRef/>
      </w:r>
      <w:r>
        <w:t xml:space="preserve"> UNESDA (2020) PET Collection Rates Across Europe; available </w:t>
      </w:r>
      <w:hyperlink r:id="rId7" w:history="1">
        <w:r w:rsidRPr="00EC4654">
          <w:rPr>
            <w:rStyle w:val="Hyperlink"/>
            <w:rFonts w:asciiTheme="minorHAnsi" w:hAnsiTheme="minorHAnsi"/>
          </w:rPr>
          <w:t>here</w:t>
        </w:r>
      </w:hyperlink>
      <w:r>
        <w:t xml:space="preserve">. </w:t>
      </w:r>
    </w:p>
  </w:footnote>
  <w:footnote w:id="15">
    <w:p w14:paraId="1134C4AB" w14:textId="09AB3265" w:rsidR="00117F79" w:rsidRPr="00CC5408" w:rsidRDefault="00117F79">
      <w:pPr>
        <w:pStyle w:val="FootnoteText"/>
      </w:pPr>
      <w:r>
        <w:rPr>
          <w:rStyle w:val="FootnoteReference"/>
        </w:rPr>
        <w:footnoteRef/>
      </w:r>
      <w:r>
        <w:t xml:space="preserve"> </w:t>
      </w:r>
      <w:proofErr w:type="spellStart"/>
      <w:r>
        <w:t>Abi</w:t>
      </w:r>
      <w:r w:rsidR="00106D44">
        <w:t>pet</w:t>
      </w:r>
      <w:proofErr w:type="spellEnd"/>
      <w:r w:rsidR="00106D44">
        <w:t xml:space="preserve"> (2020) </w:t>
      </w:r>
      <w:r w:rsidR="00CC5408">
        <w:t>11</w:t>
      </w:r>
      <w:r w:rsidR="00CC5408">
        <w:rPr>
          <w:vertAlign w:val="superscript"/>
        </w:rPr>
        <w:t xml:space="preserve">o </w:t>
      </w:r>
      <w:proofErr w:type="spellStart"/>
      <w:r w:rsidR="00106D44">
        <w:rPr>
          <w:i/>
          <w:iCs/>
        </w:rPr>
        <w:t>Censo</w:t>
      </w:r>
      <w:proofErr w:type="spellEnd"/>
      <w:r w:rsidR="00106D44">
        <w:rPr>
          <w:i/>
          <w:iCs/>
        </w:rPr>
        <w:t xml:space="preserve"> do </w:t>
      </w:r>
      <w:proofErr w:type="spellStart"/>
      <w:r w:rsidR="00106D44">
        <w:rPr>
          <w:i/>
          <w:iCs/>
        </w:rPr>
        <w:t>Reci</w:t>
      </w:r>
      <w:r w:rsidR="00CC5408">
        <w:rPr>
          <w:i/>
          <w:iCs/>
        </w:rPr>
        <w:t>clagem</w:t>
      </w:r>
      <w:proofErr w:type="spellEnd"/>
      <w:r w:rsidR="00CC5408">
        <w:rPr>
          <w:i/>
          <w:iCs/>
        </w:rPr>
        <w:t xml:space="preserve"> do PET no </w:t>
      </w:r>
      <w:proofErr w:type="spellStart"/>
      <w:r w:rsidR="00CC5408">
        <w:rPr>
          <w:i/>
          <w:iCs/>
        </w:rPr>
        <w:t>Brasil</w:t>
      </w:r>
      <w:proofErr w:type="spellEnd"/>
      <w:r w:rsidR="00CC5408">
        <w:t xml:space="preserve">. </w:t>
      </w:r>
    </w:p>
  </w:footnote>
  <w:footnote w:id="16">
    <w:p w14:paraId="70CB6B94" w14:textId="77777777" w:rsidR="00CC2D2E" w:rsidRDefault="00CC2D2E" w:rsidP="006E3605">
      <w:pPr>
        <w:pStyle w:val="FootnoteText"/>
      </w:pPr>
      <w:r>
        <w:rPr>
          <w:rStyle w:val="FootnoteReference"/>
        </w:rPr>
        <w:footnoteRef/>
      </w:r>
      <w:r>
        <w:t xml:space="preserve"> </w:t>
      </w:r>
      <w:r>
        <w:fldChar w:fldCharType="begin"/>
      </w:r>
      <w:r>
        <w:instrText xml:space="preserve"> ADDIN ZOTERO_ITEM CSL_CITATION {"citationID":"D59aSwuG","properties":{"formattedCitation":"Sphera for Ball Packaging (2020) Beverage Packaging: A Comparative Life Cycle Assessment","plainCitation":"Sphera for Ball Packaging (2020) Beverage Packaging: A Comparative Life Cycle Assessment","noteIndex":13},"citationItems":[{"id":53723,"uris":["http://zotero.org/groups/162180/items/UI83FFUW"],"uri":["http://zotero.org/groups/162180/items/UI83FFUW"],"itemData":{"id":53723,"type":"article","title":"Beverage Packaging: A Comparative Life Cycle Assessment","author":[{"family":"Sphera for Ball Packaging","given":""}],"issued":{"date-parts":[["2020"]]}}}],"schema":"https://github.com/citation-style-language/schema/raw/master/csl-citation.json"} </w:instrText>
      </w:r>
      <w:r>
        <w:fldChar w:fldCharType="separate"/>
      </w:r>
      <w:r w:rsidRPr="00350228">
        <w:rPr>
          <w:rFonts w:ascii="Calibri" w:hAnsi="Calibri" w:cs="Calibri"/>
        </w:rPr>
        <w:t>Sphera for Ball Packaging (2020) Beverage Packaging: A Comparative Life Cycle Assessment</w:t>
      </w:r>
      <w:r>
        <w:fldChar w:fldCharType="end"/>
      </w:r>
      <w:r>
        <w:t>.</w:t>
      </w:r>
    </w:p>
  </w:footnote>
  <w:footnote w:id="17">
    <w:p w14:paraId="4DADF7E6" w14:textId="77777777" w:rsidR="00C05E57" w:rsidRDefault="00C05E57" w:rsidP="00FE486A">
      <w:pPr>
        <w:pStyle w:val="FootnoteText"/>
      </w:pPr>
      <w:r>
        <w:rPr>
          <w:rStyle w:val="FootnoteReference"/>
        </w:rPr>
        <w:footnoteRef/>
      </w:r>
      <w:r>
        <w:t xml:space="preserve"> Eurostat (2021) </w:t>
      </w:r>
      <w:r w:rsidRPr="001055A4">
        <w:t>Municipal waste by waste management operations</w:t>
      </w:r>
      <w:r>
        <w:t xml:space="preserve">; available </w:t>
      </w:r>
      <w:hyperlink r:id="rId8" w:history="1">
        <w:r w:rsidRPr="005C7904">
          <w:rPr>
            <w:rStyle w:val="Hyperlink"/>
            <w:rFonts w:asciiTheme="minorHAnsi" w:hAnsiTheme="minorHAnsi"/>
          </w:rPr>
          <w:t>here</w:t>
        </w:r>
      </w:hyperlink>
      <w:r>
        <w:t>.</w:t>
      </w:r>
    </w:p>
  </w:footnote>
  <w:footnote w:id="18">
    <w:p w14:paraId="260C0D5F" w14:textId="3D525F05"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{"citationID":"zpBm1S0h","properties":{"formattedCitation":"Environmental Protection Agency (2020) Advancing Sustainable Materials Management: 2018 Fact Sheet","plainCitation":"Environmental Protection Agency (2020) Advancing Sustainable Materials Management: 2018 Fact Sheet","noteIndex":16},"citationItems":[{"id":54765,"uris":["http://zotero.org/groups/162180/items/Q2EAJXHJ"],"uri":["http://zotero.org/groups/162180/items/Q2EAJXHJ"],"itemData":{"id":54765,"type":"article","title":"Advancing Sustainable Materials Management: 2018 Fact Sheet","author":[{"family":"Environmental Protection Agency","given":""}],"issued":{"date-parts":[["2020"]]}}}],"schema":"https://github.com/citation-style-language/schema/raw/master/csl-citation.json"} </w:instrText>
      </w:r>
      <w:r>
        <w:fldChar w:fldCharType="separate"/>
      </w:r>
      <w:r w:rsidRPr="001826AA">
        <w:rPr>
          <w:rFonts w:ascii="Calibri" w:hAnsi="Calibri" w:cs="Calibri"/>
        </w:rPr>
        <w:t>Environmental Protection Agency (2020) Advancing Sustainable Materials Management: 2018 Fact Sheet</w:t>
      </w:r>
      <w:r>
        <w:fldChar w:fldCharType="end"/>
      </w:r>
    </w:p>
  </w:footnote>
  <w:footnote w:id="19">
    <w:p w14:paraId="3769AEAF" w14:textId="7ACB98B5"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{"citationID":"MuuVuYVX","properties":{"formattedCitation":"Sakai, S. (1996) Municipal solid waste management in Japan, {\\i{}Waste Management}, Vol.16","plainCitation":"Sakai, S. (1996) Municipal solid waste management in Japan, Waste Management, Vol.16","noteIndex":14},"citationItems":[{"id":53716,"uris":["http://zotero.org/groups/162180/items/HMUNU8HJ"],"uri":["http://zotero.org/groups/162180/items/HMUNU8HJ"],"itemData":{"id":53716,"type":"article-journal","container-title":"Waste Management","title":"Municipal solid waste management in Japan","volume":"16","author":[{"family":"Sakai, S.","given":""}],"issued":{"date-parts":[["1996"]]}}}],"schema":"https://github.com/citation-style-language/schema/raw/master/csl-citation.json"} </w:instrText>
      </w:r>
      <w:r>
        <w:fldChar w:fldCharType="separate"/>
      </w:r>
      <w:r w:rsidRPr="008E4B43">
        <w:rPr>
          <w:rFonts w:ascii="Calibri" w:hAnsi="Calibri" w:cs="Calibri"/>
          <w:szCs w:val="24"/>
        </w:rPr>
        <w:t xml:space="preserve">Sakai, S. (1996) Municipal solid waste management in Japan, </w:t>
      </w:r>
      <w:r w:rsidRPr="008E4B43">
        <w:rPr>
          <w:rFonts w:ascii="Calibri" w:hAnsi="Calibri" w:cs="Calibri"/>
          <w:i/>
          <w:iCs/>
          <w:szCs w:val="24"/>
        </w:rPr>
        <w:t>Waste Management</w:t>
      </w:r>
      <w:r w:rsidRPr="008E4B43">
        <w:rPr>
          <w:rFonts w:ascii="Calibri" w:hAnsi="Calibri" w:cs="Calibri"/>
          <w:szCs w:val="24"/>
        </w:rPr>
        <w:t>, Vol.16</w:t>
      </w:r>
      <w:r>
        <w:fldChar w:fldCharType="end"/>
      </w:r>
    </w:p>
  </w:footnote>
  <w:footnote w:id="20">
    <w:p w14:paraId="6C5F39C0" w14:textId="6EDB5016"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{"citationID":"u1scXVrL","properties":{"formattedCitation":"Tanaka, M. (1999) Recent trends in recycling activities and waste management in Japan, {\\i{}Journal of Material Cycles and Waste Management}, Vol.1, pp.1\\uc0\\u8211{}10","plainCitation":"Tanaka, M. (1999) Recent trends in recycling activities and waste management in Japan, Journal of Material Cycles and Waste Management, Vol.1, pp.1–10","noteIndex":15},"citationItems":[{"id":53718,"uris":["http://zotero.org/groups/162180/items/HDRPRJIZ"],"uri":["http://zotero.org/groups/162180/items/HDRPRJIZ"],"itemData":{"id":53718,"type":"article-journal","container-title":"Journal of Material Cycles and Waste Management","page":"1-10","title":"Recent trends in recycling activities and waste management in Japan","volume":"1","author":[{"family":"Tanaka","given":"Masaru"}],"issued":{"date-parts":[["1999"]]}}}],"schema":"https://github.com/citation-style-language/schema/raw/master/csl-citation.json"} </w:instrText>
      </w:r>
      <w:r>
        <w:fldChar w:fldCharType="separate"/>
      </w:r>
      <w:r w:rsidRPr="002F7BD8">
        <w:rPr>
          <w:rFonts w:ascii="Calibri" w:hAnsi="Calibri" w:cs="Calibri"/>
          <w:szCs w:val="24"/>
        </w:rPr>
        <w:t xml:space="preserve">Tanaka, M. (1999) Recent trends in recycling activities and waste management in Japan, </w:t>
      </w:r>
      <w:r w:rsidRPr="002F7BD8">
        <w:rPr>
          <w:rFonts w:ascii="Calibri" w:hAnsi="Calibri" w:cs="Calibri"/>
          <w:i/>
          <w:iCs/>
          <w:szCs w:val="24"/>
        </w:rPr>
        <w:t>Journal of Material Cycles and Waste Management</w:t>
      </w:r>
      <w:r w:rsidRPr="002F7BD8">
        <w:rPr>
          <w:rFonts w:ascii="Calibri" w:hAnsi="Calibri" w:cs="Calibri"/>
          <w:szCs w:val="24"/>
        </w:rPr>
        <w:t>, Vol.1, pp.1–10</w:t>
      </w:r>
      <w:r>
        <w:fldChar w:fldCharType="end"/>
      </w:r>
    </w:p>
  </w:footnote>
  <w:footnote w:id="21">
    <w:p w14:paraId="1C377436" w14:textId="6AC7EB26"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{"citationID":"wz77wV3z","properties":{"formattedCitation":"Niyati, M. (2015) A Comparative Study of Municipal Solid Waste Management in India and Japan","plainCitation":"Niyati, M. (2015) A Comparative Study of Municipal Solid Waste Management in India and Japan","noteIndex":16},"citationItems":[{"id":53717,"uris":["http://zotero.org/groups/162180/items/36JXVX9G"],"uri":["http://zotero.org/groups/162180/items/36JXVX9G"],"itemData":{"id":53717,"type":"article-journal","title":"A Comparative Study of Municipal Solid Waste Management in India and Japan","author":[{"family":"Niyati","given":"Mahajan"}],"issued":{"date-parts":[["2015"]]}}}],"schema":"https://github.com/citation-style-language/schema/raw/master/csl-citation.json"} </w:instrText>
      </w:r>
      <w:r>
        <w:fldChar w:fldCharType="separate"/>
      </w:r>
      <w:r w:rsidRPr="00911DBC">
        <w:rPr>
          <w:rFonts w:ascii="Calibri" w:hAnsi="Calibri" w:cs="Calibri"/>
        </w:rPr>
        <w:t>Niyati, M. (2015) A Comparative Study of Municipal Solid Waste Management in India and Japan</w:t>
      </w:r>
      <w:r>
        <w:fldChar w:fldCharType="end"/>
      </w:r>
    </w:p>
  </w:footnote>
  <w:footnote w:id="22">
    <w:p w14:paraId="16720008" w14:textId="2C2D7B67"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{"citationID":"uRBPh1bk","properties":{"formattedCitation":"Alfaia, R., Costa, A., and Campos, J. (2017) Municipal solid waste in Brazil: A review, {\\i{}Waste Management &amp; Research: The Journal for a Sustainable Circular Economy}, Vol.35, No.12, pp.1195-1209.","plainCitation":"Alfaia, R., Costa, A., and Campos, J. (2017) Municipal solid waste in Brazil: A review, Waste Management &amp; Research: The Journal for a Sustainable Circular Economy, Vol.35, No.12, pp.1195-1209.","noteIndex":17},"citationItems":[{"id":54762,"uris":["http://zotero.org/groups/162180/items/MA2URF22"],"uri":["http://zotero.org/groups/162180/items/MA2URF22"],"itemData":{"id":54762,"type":"article-journal","container-title":"Waste Management &amp; Research: The Journal for a Sustainable Circular Economy","issue":"12","page":"1195-1209.","title":"Municipal solid waste in Brazil: A review","volume":"35","author":[{"family":"Alfaia","given":"Raquel"},{"family":"Costa","given":"Alyne"},{"family":"Campos","given":"Juacyara"}],"issued":{"date-parts":[["2017",11]]}}}],"schema":"https://github.com/citation-style-language/schema/raw/master/csl-citation.json"} </w:instrText>
      </w:r>
      <w:r>
        <w:fldChar w:fldCharType="separate"/>
      </w:r>
      <w:r w:rsidRPr="00911DBC">
        <w:rPr>
          <w:rFonts w:ascii="Calibri" w:hAnsi="Calibri" w:cs="Calibri"/>
          <w:szCs w:val="24"/>
        </w:rPr>
        <w:t xml:space="preserve">Alfaia, R., Costa, A., and Campos, J. (2017) Municipal solid waste in Brazil: A review, </w:t>
      </w:r>
      <w:r w:rsidRPr="00911DBC">
        <w:rPr>
          <w:rFonts w:ascii="Calibri" w:hAnsi="Calibri" w:cs="Calibri"/>
          <w:i/>
          <w:iCs/>
          <w:szCs w:val="24"/>
        </w:rPr>
        <w:t>Waste Management &amp; Research: The Journal for a Sustainable Circular Economy</w:t>
      </w:r>
      <w:r w:rsidRPr="00911DBC">
        <w:rPr>
          <w:rFonts w:ascii="Calibri" w:hAnsi="Calibri" w:cs="Calibri"/>
          <w:szCs w:val="24"/>
        </w:rPr>
        <w:t>, Vol.35, No.12, pp.1195-1209.</w:t>
      </w:r>
      <w:r>
        <w:fldChar w:fldCharType="end"/>
      </w:r>
    </w:p>
  </w:footnote>
  <w:footnote w:id="23">
    <w:p w14:paraId="2E77E02A" w14:textId="448A9211"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{"citationID":"n1s0s5d3","properties":{"formattedCitation":"Lee, R.P., Meyer, B., Huang, Q., and Voss, R. (2020) Sustainable waste management for zero waste cities in China: potential, challenges and opportunities, {\\i{}Clean Energy}, Vol.4, No.3, pp.169\\uc0\\u8211{}201","plainCitation":"Lee, R.P., Meyer, B., Huang, Q., and Voss, R. (2020) Sustainable waste management for zero waste cities in China: potential, challenges and opportunities, Clean Energy, Vol.4, No.3, pp.169–201","noteIndex":18},"citationItems":[{"id":53819,"uris":["http://zotero.org/groups/162180/items/HMB4RV3M"],"uri":["http://zotero.org/groups/162180/items/HMB4RV3M"],"itemData":{"id":53819,"type":"article-journal","container-title":"Clean Energy","issue":"3","page":"169-201","title":"Sustainable waste management for zero waste cities in China: potential, challenges and opportunities","volume":"4","author":[{"family":"Lee","given":"Roh Pin"},{"family":"Meyer","given":"Bernd"},{"family":"Huang","given":"Qiuliang"},{"family":"Voss","given":"Raoul"}],"issued":{"date-parts":[["2020",9]]}}}],"schema":"https://github.com/citation-style-language/schema/raw/master/csl-citation.json"} </w:instrText>
      </w:r>
      <w:r>
        <w:fldChar w:fldCharType="separate"/>
      </w:r>
      <w:r w:rsidRPr="00911DBC">
        <w:rPr>
          <w:rFonts w:ascii="Calibri" w:hAnsi="Calibri" w:cs="Calibri"/>
          <w:szCs w:val="24"/>
        </w:rPr>
        <w:t xml:space="preserve">Lee, R.P., Meyer, B., Huang, Q., and Voss, R. (2020) Sustainable waste management for zero waste cities in China: potential, challenges and opportunities, </w:t>
      </w:r>
      <w:r w:rsidRPr="00911DBC">
        <w:rPr>
          <w:rFonts w:ascii="Calibri" w:hAnsi="Calibri" w:cs="Calibri"/>
          <w:i/>
          <w:iCs/>
          <w:szCs w:val="24"/>
        </w:rPr>
        <w:t>Clean Energy</w:t>
      </w:r>
      <w:r w:rsidRPr="00911DBC">
        <w:rPr>
          <w:rFonts w:ascii="Calibri" w:hAnsi="Calibri" w:cs="Calibri"/>
          <w:szCs w:val="24"/>
        </w:rPr>
        <w:t>, Vol.4, No.3, pp.169–201</w:t>
      </w:r>
      <w:r>
        <w:fldChar w:fldCharType="end"/>
      </w:r>
    </w:p>
  </w:footnote>
  <w:footnote w:id="24">
    <w:p w14:paraId="47DF7A02" w14:textId="77777777" w:rsidR="00C05E57" w:rsidRDefault="00C05E57" w:rsidP="006E3605">
      <w:pPr>
        <w:pStyle w:val="FootnoteText"/>
      </w:pPr>
      <w:r>
        <w:rPr>
          <w:rStyle w:val="FootnoteReference"/>
        </w:rPr>
        <w:footnoteRef/>
      </w:r>
      <w:r>
        <w:t xml:space="preserve"> Personal communication with Marlen Bertram (IAI) and Maarten Labberton (European Aluminium Association). </w:t>
      </w:r>
    </w:p>
  </w:footnote>
  <w:footnote w:id="25">
    <w:p w14:paraId="635874E4" w14:textId="77777777" w:rsidR="00C05E57" w:rsidRDefault="00C05E57" w:rsidP="006E3605">
      <w:pPr>
        <w:pStyle w:val="FootnoteText"/>
      </w:pPr>
      <w:r>
        <w:rPr>
          <w:rStyle w:val="FootnoteReference"/>
        </w:rPr>
        <w:footnoteRef/>
      </w:r>
      <w:r>
        <w:t xml:space="preserve"> Zero Waste Scotland (2012) Glass Collection &amp; Re-processing Options Appraisal in Scotland; available </w:t>
      </w:r>
      <w:hyperlink r:id="rId9" w:history="1">
        <w:r w:rsidRPr="006D70BD">
          <w:rPr>
            <w:rStyle w:val="Hyperlink"/>
            <w:rFonts w:asciiTheme="minorHAnsi" w:hAnsiTheme="minorHAnsi"/>
          </w:rPr>
          <w:t>here</w:t>
        </w:r>
      </w:hyperlink>
      <w:r>
        <w:t xml:space="preserve">. </w:t>
      </w:r>
    </w:p>
  </w:footnote>
  <w:footnote w:id="26">
    <w:p w14:paraId="53894AAF" w14:textId="595CBEEF"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{"citationID":"qoR6Khe9","properties":{"formattedCitation":"RRS (2015) MRF Material Flow Study","plainCitation":"RRS (2015) MRF Material Flow Study","noteIndex":17},"citationItems":[{"id":53720,"uris":["http://zotero.org/groups/162180/items/7QZAWMYI"],"uri":["http://zotero.org/groups/162180/items/7QZAWMYI"],"itemData":{"id":53720,"type":"article","title":"MRF Material Flow Study","author":[{"family":"RRS","given":""}],"issued":{"date-parts":[["2015"]]}}}],"schema":"https://github.com/citation-style-language/schema/raw/master/csl-citation.json"} </w:instrText>
      </w:r>
      <w:r>
        <w:fldChar w:fldCharType="separate"/>
      </w:r>
      <w:r w:rsidRPr="00D026B3">
        <w:rPr>
          <w:rFonts w:ascii="Calibri" w:hAnsi="Calibri" w:cs="Calibri"/>
        </w:rPr>
        <w:t>RRS (2015) MRF Material Flow Study</w:t>
      </w:r>
      <w:r>
        <w:fldChar w:fldCharType="end"/>
      </w:r>
    </w:p>
  </w:footnote>
  <w:footnote w:id="27">
    <w:p w14:paraId="5502FF14" w14:textId="67BDC798" w:rsidR="00C05E57" w:rsidRDefault="00C05E57" w:rsidP="006E3605">
      <w:pPr>
        <w:pStyle w:val="FootnoteText"/>
      </w:pPr>
      <w:r>
        <w:rPr>
          <w:rStyle w:val="FootnoteReference"/>
        </w:rPr>
        <w:footnoteRef/>
      </w:r>
      <w:r>
        <w:t xml:space="preserve"> </w:t>
      </w:r>
      <w:r>
        <w:fldChar w:fldCharType="begin"/>
      </w:r>
      <w:r>
        <w:instrText xml:space="preserve"> ADDIN ZOTERO_ITEM CSL_CITATION {"citationID":"8upO6rd4","properties":{"formattedCitation":"Boin, U.M.J., and Bertram, M. (2005) Melting standardized aluminum scrap: A mass balance model for europe, {\\i{}JOM}, Vol.57, No.8, pp.26\\uc0\\u8211{}33","plainCitation":"Boin, U.M.J., and Bertram, M. (2005) Melting standardized aluminum scrap: A mass balance model for europe, JOM, Vol.57, No.8, pp.26–33","dontUpdate":true,"noteIndex":18},"citationItems":[{"id":52690,"uris":["http://zotero.org/groups/162180/items/6N4Z4BF3"],"uri":["http://zotero.org/groups/162180/items/6N4Z4BF3"],"itemData":{"id":52690,"type":"article-journal","container-title":"JOM","DOI":"10.1007/s11837-005-0164-4","ISSN":"1047-4838, 1543-1851","issue":"8","journalAbbreviation":"JOM","language":"en","page":"26-33","source":"DOI.org (Crossref)","title":"Melting standardized aluminum scrap: A mass balance model for europe","title-short":"Melting standardized aluminum scrap","volume":"57","author":[{"family":"Boin","given":"U. M. J."},{"family":"Bertram","given":"M."}],"issued":{"date-parts":[["2005",8]]}}}],"schema":"https://github.com/citation-style-language/schema/raw/master/csl-citation.json"} </w:instrText>
      </w:r>
      <w:r>
        <w:fldChar w:fldCharType="separate"/>
      </w:r>
      <w:r w:rsidRPr="00C12281">
        <w:rPr>
          <w:rFonts w:ascii="Calibri" w:hAnsi="Calibri" w:cs="Calibri"/>
          <w:szCs w:val="24"/>
        </w:rPr>
        <w:t xml:space="preserve">Boin, U.M.J., and Bertram, M. (2005) Melting standardized aluminum scrap: A mass balance model for </w:t>
      </w:r>
      <w:r>
        <w:rPr>
          <w:rFonts w:ascii="Calibri" w:hAnsi="Calibri" w:cs="Calibri"/>
          <w:szCs w:val="24"/>
        </w:rPr>
        <w:t>E</w:t>
      </w:r>
      <w:r w:rsidRPr="00C12281">
        <w:rPr>
          <w:rFonts w:ascii="Calibri" w:hAnsi="Calibri" w:cs="Calibri"/>
          <w:szCs w:val="24"/>
        </w:rPr>
        <w:t xml:space="preserve">urope, </w:t>
      </w:r>
      <w:r w:rsidRPr="00C12281">
        <w:rPr>
          <w:rFonts w:ascii="Calibri" w:hAnsi="Calibri" w:cs="Calibri"/>
          <w:i/>
          <w:iCs/>
          <w:szCs w:val="24"/>
        </w:rPr>
        <w:t>JOM</w:t>
      </w:r>
      <w:r w:rsidRPr="00C12281">
        <w:rPr>
          <w:rFonts w:ascii="Calibri" w:hAnsi="Calibri" w:cs="Calibri"/>
          <w:szCs w:val="24"/>
        </w:rPr>
        <w:t>, Vol.57, No.8, pp.26–33</w:t>
      </w:r>
      <w:r>
        <w:fldChar w:fldCharType="end"/>
      </w:r>
    </w:p>
  </w:footnote>
  <w:footnote w:id="28">
    <w:p w14:paraId="6F00847E" w14:textId="2C2B2162" w:rsidR="00C05E57" w:rsidRPr="005612C0" w:rsidRDefault="00C05E57" w:rsidP="006E3605">
      <w:pPr>
        <w:pStyle w:val="FootnoteText"/>
        <w:rPr>
          <w:lang w:val="de-DE"/>
        </w:rPr>
      </w:pPr>
      <w:r>
        <w:rPr>
          <w:rStyle w:val="FootnoteReference"/>
        </w:rPr>
        <w:footnoteRef/>
      </w:r>
      <w:r w:rsidRPr="005612C0">
        <w:rPr>
          <w:lang w:val="de-DE"/>
        </w:rPr>
        <w:t xml:space="preserve"> </w:t>
      </w:r>
      <w:r>
        <w:fldChar w:fldCharType="begin"/>
      </w:r>
      <w:r w:rsidRPr="005612C0">
        <w:rPr>
          <w:lang w:val="de-DE"/>
        </w:rPr>
        <w:instrText xml:space="preserve"> ADDIN ZOTERO_ITEM CSL_CITATION {"citationID":"32MBEzIf","properties":{"formattedCitation":"GVM (2020) Aufkommen und Verwertung von PET Getr\\uc0\\u228{}nkeflaschen in Deutschland 2019","plainCitation":"GVM (2020) Aufkommen und Verwertung von PET Getränkeflaschen in Deutschland 2019","noteIndex":19},"citationItems":[{"id":53731,"uris":["http://zotero.org/groups/162180/items/A5PXWX8L"],"uri":["http://zotero.org/groups/162180/items/A5PXWX8L"],"itemData":{"id":53731,"type":"article","title":"Aufkommen und Verwertung von PET Getränkeflaschen in Deutschland 2019","author":[{"family":"GVM","given":""}],"issued":{"date-parts":[["2020"]]}}}],"schema":"https://github.com/citation-style-language/schema/raw/master/csl-citation.json"} </w:instrText>
      </w:r>
      <w:r>
        <w:fldChar w:fldCharType="separate"/>
      </w:r>
      <w:r w:rsidRPr="005612C0">
        <w:rPr>
          <w:rFonts w:ascii="Calibri" w:hAnsi="Calibri" w:cs="Calibri"/>
          <w:szCs w:val="24"/>
          <w:lang w:val="de-DE"/>
        </w:rPr>
        <w:t>GVM (2020) Aufkommen und Verwertung von PET Getränkeflaschen in Deutschland 2019</w:t>
      </w:r>
      <w:r>
        <w:fldChar w:fldCharType="end"/>
      </w:r>
      <w:r w:rsidRPr="005612C0">
        <w:rPr>
          <w:lang w:val="de-DE"/>
        </w:rPr>
        <w:t xml:space="preserve">; </w:t>
      </w:r>
      <w:proofErr w:type="spellStart"/>
      <w:r w:rsidRPr="005612C0">
        <w:rPr>
          <w:lang w:val="de-DE"/>
        </w:rPr>
        <w:t>available</w:t>
      </w:r>
      <w:proofErr w:type="spellEnd"/>
      <w:r w:rsidRPr="005612C0">
        <w:rPr>
          <w:lang w:val="de-DE"/>
        </w:rPr>
        <w:t xml:space="preserve"> </w:t>
      </w:r>
      <w:r w:rsidR="005D5FDF">
        <w:fldChar w:fldCharType="begin"/>
      </w:r>
      <w:r w:rsidR="005D5FDF" w:rsidRPr="003540A8">
        <w:rPr>
          <w:lang w:val="de-DE"/>
        </w:rPr>
        <w:instrText xml:space="preserve"> HYPERLINK "https://newsroom.kunststoffverpackungen.de/wp-content/uploads/2020/10/2020-10-19-Kurzfassung-Verwertung-PET-Getraenkeflaschen-2019.pdf" </w:instrText>
      </w:r>
      <w:r w:rsidR="005D5FDF">
        <w:fldChar w:fldCharType="separate"/>
      </w:r>
      <w:proofErr w:type="spellStart"/>
      <w:r w:rsidRPr="005612C0">
        <w:rPr>
          <w:rStyle w:val="Hyperlink"/>
          <w:rFonts w:asciiTheme="minorHAnsi" w:hAnsiTheme="minorHAnsi"/>
          <w:lang w:val="de-DE"/>
        </w:rPr>
        <w:t>here</w:t>
      </w:r>
      <w:proofErr w:type="spellEnd"/>
      <w:r w:rsidR="005D5FDF">
        <w:rPr>
          <w:rStyle w:val="Hyperlink"/>
          <w:rFonts w:asciiTheme="minorHAnsi" w:hAnsiTheme="minorHAnsi"/>
          <w:lang w:val="de-DE"/>
        </w:rPr>
        <w:fldChar w:fldCharType="end"/>
      </w:r>
      <w:r w:rsidRPr="005612C0">
        <w:rPr>
          <w:lang w:val="de-DE"/>
        </w:rPr>
        <w:t xml:space="preserve">. </w:t>
      </w:r>
    </w:p>
  </w:footnote>
  <w:footnote w:id="29">
    <w:p w14:paraId="01E7DB00" w14:textId="77777777" w:rsidR="00C05E57" w:rsidRDefault="00C05E57" w:rsidP="006E3605">
      <w:pPr>
        <w:pStyle w:val="FootnoteText"/>
      </w:pPr>
      <w:r>
        <w:rPr>
          <w:rStyle w:val="FootnoteReference"/>
        </w:rPr>
        <w:footnoteRef/>
      </w:r>
      <w:r>
        <w:t xml:space="preserve"> </w:t>
      </w:r>
      <w:proofErr w:type="spellStart"/>
      <w:r>
        <w:t>Hannemann</w:t>
      </w:r>
      <w:proofErr w:type="spellEnd"/>
      <w:r>
        <w:t xml:space="preserve">, A. (2020) </w:t>
      </w:r>
      <w:r w:rsidRPr="009A56FA">
        <w:t>PET Bottle to Bottle Recycling with the MRS Extrusion Concept</w:t>
      </w:r>
      <w:r>
        <w:t xml:space="preserve">; available </w:t>
      </w:r>
      <w:hyperlink r:id="rId10" w:history="1">
        <w:r w:rsidRPr="006E2447">
          <w:rPr>
            <w:rStyle w:val="Hyperlink"/>
            <w:rFonts w:asciiTheme="minorHAnsi" w:hAnsiTheme="minorHAnsi"/>
          </w:rPr>
          <w:t>here</w:t>
        </w:r>
      </w:hyperlink>
      <w:r>
        <w:t xml:space="preserve">. </w:t>
      </w:r>
    </w:p>
  </w:footnote>
  <w:footnote w:id="30">
    <w:p w14:paraId="36C940FA" w14:textId="77777777" w:rsidR="006E722D" w:rsidRDefault="006E722D" w:rsidP="006E3605">
      <w:pPr>
        <w:pStyle w:val="FootnoteText"/>
      </w:pPr>
      <w:r>
        <w:rPr>
          <w:rStyle w:val="FootnoteReference"/>
        </w:rPr>
        <w:footnoteRef/>
      </w:r>
      <w:r>
        <w:t xml:space="preserve"> British Glass (2021) Response to ‘Consultation on Deposit Return Scheme (England, NI, Wales)’: available </w:t>
      </w:r>
      <w:hyperlink r:id="rId11" w:history="1">
        <w:r w:rsidRPr="00D073E4">
          <w:rPr>
            <w:rStyle w:val="Hyperlink"/>
            <w:rFonts w:asciiTheme="minorHAnsi" w:hAnsiTheme="minorHAnsi"/>
          </w:rPr>
          <w:t>here</w:t>
        </w:r>
      </w:hyperlink>
      <w:r>
        <w:t>.</w:t>
      </w:r>
    </w:p>
  </w:footnote>
  <w:footnote w:id="31">
    <w:p w14:paraId="61CE9694" w14:textId="77777777" w:rsidR="006E722D" w:rsidRDefault="006E722D" w:rsidP="006E3605">
      <w:pPr>
        <w:pStyle w:val="FootnoteText"/>
      </w:pPr>
      <w:r>
        <w:rPr>
          <w:rStyle w:val="FootnoteReference"/>
        </w:rPr>
        <w:footnoteRef/>
      </w:r>
      <w:r>
        <w:t xml:space="preserve"> Statista (2021) </w:t>
      </w:r>
      <w:r w:rsidRPr="003A7FEA">
        <w:t>Leading sectors of destination of recycled PET in Brazil in 2019</w:t>
      </w:r>
      <w:r>
        <w:t xml:space="preserve">; available </w:t>
      </w:r>
      <w:hyperlink r:id="rId12" w:history="1">
        <w:r w:rsidRPr="003A7FEA">
          <w:rPr>
            <w:rStyle w:val="Hyperlink"/>
            <w:rFonts w:asciiTheme="minorHAnsi" w:hAnsiTheme="minorHAnsi"/>
          </w:rPr>
          <w:t>here</w:t>
        </w:r>
      </w:hyperlink>
      <w:r>
        <w:t>.</w:t>
      </w:r>
    </w:p>
  </w:footnote>
  <w:footnote w:id="32">
    <w:p w14:paraId="4D73A1DA" w14:textId="50B18EF1" w:rsidR="006E722D" w:rsidRDefault="006E722D" w:rsidP="006E3605">
      <w:pPr>
        <w:pStyle w:val="FootnoteText"/>
      </w:pPr>
      <w:r>
        <w:rPr>
          <w:rStyle w:val="FootnoteReference"/>
        </w:rPr>
        <w:footnoteRef/>
      </w:r>
      <w:r>
        <w:t xml:space="preserve"> </w:t>
      </w:r>
      <w:r>
        <w:fldChar w:fldCharType="begin"/>
      </w:r>
      <w:r>
        <w:instrText xml:space="preserve"> ADDIN ZOTERO_ITEM CSL_CITATION {"citationID":"t1XXMoMH","properties":{"formattedCitation":"Ma, Z., Ryberg, M.W., Wang, P., Tang, L., and Chen, W.-Q. (2020) China\\uc0\\u8217{}s Import of Waste PET Bottles Benefited Global Plastic Circularity and Environmental Performance, {\\i{}ACS Sustainable Chemistry &amp; Engineering}, Vol.8, No.45, pp.16861\\uc0\\u8211{}16868","plainCitation":"Ma, Z., Ryberg, M.W., Wang, P., Tang, L., and Chen, W.-Q. (2020) China’s Import of Waste PET Bottles Benefited Global Plastic Circularity and Environmental Performance, ACS Sustainable Chemistry &amp; Engineering, Vol.8, No.45, pp.16861–16868","noteIndex":29},"citationItems":[{"id":54764,"uris":["http://zotero.org/groups/162180/items/ERT8IAJQ"],"uri":["http://zotero.org/groups/162180/items/ERT8IAJQ"],"itemData":{"id":54764,"type":"article-journal","container-title":"ACS Sustainable Chemistry &amp; Engineering","issue":"45","page":"16861-16868","title":"China’s Import of Waste PET Bottles Benefited Global Plastic Circularity and Environmental Performance","volume":"8","author":[{"family":"Ma","given":"Zijie"},{"family":"Ryberg","given":"Morten W."},{"family":"Wang","given":"Peng"},{"family":"Tang","given":"Linbin"},{"family":"Chen","given":"Wei-Qiang"}],"issued":{"date-parts":[["2020",11]]}}}],"schema":"https://github.com/citation-style-language/schema/raw/master/csl-citation.json"} </w:instrText>
      </w:r>
      <w:r>
        <w:fldChar w:fldCharType="separate"/>
      </w:r>
      <w:r w:rsidRPr="003D1ABF">
        <w:rPr>
          <w:rFonts w:ascii="Calibri" w:hAnsi="Calibri" w:cs="Calibri"/>
          <w:szCs w:val="24"/>
        </w:rPr>
        <w:t xml:space="preserve">Ma, Z., Ryberg, M.W., Wang, P., Tang, L., and Chen, W.-Q. (2020) China’s Import of Waste PET Bottles Benefited Global Plastic Circularity and Environmental Performance, </w:t>
      </w:r>
      <w:r w:rsidRPr="003D1ABF">
        <w:rPr>
          <w:rFonts w:ascii="Calibri" w:hAnsi="Calibri" w:cs="Calibri"/>
          <w:i/>
          <w:iCs/>
          <w:szCs w:val="24"/>
        </w:rPr>
        <w:t>ACS Sustainable Chemistry &amp; Engineering</w:t>
      </w:r>
      <w:r w:rsidRPr="003D1ABF">
        <w:rPr>
          <w:rFonts w:ascii="Calibri" w:hAnsi="Calibri" w:cs="Calibri"/>
          <w:szCs w:val="24"/>
        </w:rPr>
        <w:t>, Vol.8, No.45, pp.16861–16868</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A553" w14:textId="77777777" w:rsidR="002E5634" w:rsidRDefault="002E5634" w:rsidP="002E5634">
    <w:pPr>
      <w:pStyle w:val="Header"/>
      <w:tabs>
        <w:tab w:val="clear" w:pos="6901"/>
      </w:tabs>
    </w:pPr>
    <w:r>
      <w:tab/>
    </w:r>
    <w:r>
      <w:tab/>
    </w:r>
    <w:r>
      <w:rPr>
        <w:noProof/>
      </w:rPr>
      <w:drawing>
        <wp:inline distT="0" distB="0" distL="0" distR="0" wp14:anchorId="315647A5" wp14:editId="560760BA">
          <wp:extent cx="1916719" cy="47424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NOMIAlogo-colour small for twitter.png"/>
                  <pic:cNvPicPr/>
                </pic:nvPicPr>
                <pic:blipFill>
                  <a:blip r:embed="rId1">
                    <a:extLst>
                      <a:ext uri="{28A0092B-C50C-407E-A947-70E740481C1C}">
                        <a14:useLocalDpi xmlns:a14="http://schemas.microsoft.com/office/drawing/2010/main" val="0"/>
                      </a:ext>
                    </a:extLst>
                  </a:blip>
                  <a:stretch>
                    <a:fillRect/>
                  </a:stretch>
                </pic:blipFill>
                <pic:spPr>
                  <a:xfrm>
                    <a:off x="0" y="0"/>
                    <a:ext cx="1954077" cy="483483"/>
                  </a:xfrm>
                  <a:prstGeom prst="rect">
                    <a:avLst/>
                  </a:prstGeom>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B07" w14:textId="77777777" w:rsidR="008C29A6" w:rsidRDefault="008C29A6" w:rsidP="002E5634">
    <w:pPr>
      <w:pStyle w:val="Header"/>
    </w:pPr>
    <w:r>
      <w:rPr>
        <w:noProof/>
      </w:rPr>
      <w:drawing>
        <wp:inline distT="0" distB="0" distL="0" distR="0" wp14:anchorId="7416ACF6" wp14:editId="24F66110">
          <wp:extent cx="1916719" cy="474240"/>
          <wp:effectExtent l="0" t="0" r="762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NOMIAlogo-colour small for twitter.png"/>
                  <pic:cNvPicPr/>
                </pic:nvPicPr>
                <pic:blipFill>
                  <a:blip r:embed="rId1">
                    <a:extLst>
                      <a:ext uri="{28A0092B-C50C-407E-A947-70E740481C1C}">
                        <a14:useLocalDpi xmlns:a14="http://schemas.microsoft.com/office/drawing/2010/main" val="0"/>
                      </a:ext>
                    </a:extLst>
                  </a:blip>
                  <a:stretch>
                    <a:fillRect/>
                  </a:stretch>
                </pic:blipFill>
                <pic:spPr>
                  <a:xfrm>
                    <a:off x="0" y="0"/>
                    <a:ext cx="1954077" cy="483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AEE0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44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6A15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9AF2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4A4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9275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6A82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0C45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A49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76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74D61"/>
    <w:multiLevelType w:val="multilevel"/>
    <w:tmpl w:val="737CEE2C"/>
    <w:lvl w:ilvl="0">
      <w:start w:val="1"/>
      <w:numFmt w:val="decimal"/>
      <w:pStyle w:val="Heading1"/>
      <w:lvlText w:val="%1.0"/>
      <w:lvlJc w:val="left"/>
      <w:pPr>
        <w:tabs>
          <w:tab w:val="num" w:pos="432"/>
        </w:tabs>
        <w:ind w:left="432" w:hanging="432"/>
      </w:p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065A4DF6"/>
    <w:multiLevelType w:val="multilevel"/>
    <w:tmpl w:val="F8E622EE"/>
    <w:styleLink w:val="Style1"/>
    <w:lvl w:ilvl="0">
      <w:start w:val="1"/>
      <w:numFmt w:val="decimal"/>
      <w:lvlText w:val="%1)"/>
      <w:lvlJc w:val="left"/>
      <w:pPr>
        <w:ind w:left="720" w:hanging="360"/>
      </w:pPr>
      <w:rPr>
        <w:rFonts w:hint="default"/>
        <w:color w:val="F15D25" w:themeColor="accent4"/>
      </w:rPr>
    </w:lvl>
    <w:lvl w:ilvl="1">
      <w:start w:val="1"/>
      <w:numFmt w:val="lowerLetter"/>
      <w:lvlText w:val="%2."/>
      <w:lvlJc w:val="left"/>
      <w:pPr>
        <w:ind w:left="1440" w:hanging="360"/>
      </w:pPr>
      <w:rPr>
        <w:rFonts w:hint="default"/>
        <w:color w:val="F15D25" w:themeColor="accent4"/>
      </w:rPr>
    </w:lvl>
    <w:lvl w:ilvl="2">
      <w:start w:val="1"/>
      <w:numFmt w:val="lowerRoman"/>
      <w:lvlText w:val="%3."/>
      <w:lvlJc w:val="right"/>
      <w:pPr>
        <w:ind w:left="2160" w:hanging="180"/>
      </w:pPr>
      <w:rPr>
        <w:rFonts w:hint="default"/>
        <w:color w:val="F15D25" w:themeColor="accent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7537A9"/>
    <w:multiLevelType w:val="multilevel"/>
    <w:tmpl w:val="0809001D"/>
    <w:styleLink w:val="EunomiaStyleBullets"/>
    <w:lvl w:ilvl="0">
      <w:start w:val="1"/>
      <w:numFmt w:val="bullet"/>
      <w:lvlText w:val=""/>
      <w:lvlJc w:val="left"/>
      <w:pPr>
        <w:ind w:left="360" w:hanging="360"/>
      </w:pPr>
      <w:rPr>
        <w:rFonts w:ascii="Symbol" w:hAnsi="Symbol" w:hint="default"/>
        <w:color w:val="F15D25" w:themeColor="accent4"/>
      </w:rPr>
    </w:lvl>
    <w:lvl w:ilvl="1">
      <w:start w:val="1"/>
      <w:numFmt w:val="bullet"/>
      <w:lvlText w:val="o"/>
      <w:lvlJc w:val="left"/>
      <w:pPr>
        <w:ind w:left="720" w:hanging="360"/>
      </w:pPr>
      <w:rPr>
        <w:rFonts w:ascii="Symbol" w:hAnsi="Symbol" w:hint="default"/>
        <w:color w:val="F15D25" w:themeColor="accent4"/>
      </w:rPr>
    </w:lvl>
    <w:lvl w:ilvl="2">
      <w:start w:val="1"/>
      <w:numFmt w:val="bullet"/>
      <w:lvlText w:val=""/>
      <w:lvlJc w:val="left"/>
      <w:pPr>
        <w:ind w:left="1080" w:hanging="360"/>
      </w:pPr>
      <w:rPr>
        <w:rFonts w:ascii="Wingdings" w:hAnsi="Wingdings" w:hint="default"/>
        <w:color w:val="F15D25" w:themeColor="accent4"/>
      </w:rPr>
    </w:lvl>
    <w:lvl w:ilvl="3">
      <w:start w:val="1"/>
      <w:numFmt w:val="bullet"/>
      <w:lvlText w:val=""/>
      <w:lvlJc w:val="left"/>
      <w:pPr>
        <w:ind w:left="1440" w:hanging="360"/>
      </w:pPr>
      <w:rPr>
        <w:rFonts w:ascii="Symbol" w:hAnsi="Symbol" w:hint="default"/>
        <w:color w:val="F15D25" w:themeColor="accent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8F019A"/>
    <w:multiLevelType w:val="multilevel"/>
    <w:tmpl w:val="0409001D"/>
    <w:styleLink w:val="StyleNumbered"/>
    <w:lvl w:ilvl="0">
      <w:start w:val="1"/>
      <w:numFmt w:val="decimal"/>
      <w:lvlText w:val="%1)"/>
      <w:lvlJc w:val="left"/>
      <w:pPr>
        <w:tabs>
          <w:tab w:val="num" w:pos="360"/>
        </w:tabs>
        <w:ind w:left="360" w:hanging="360"/>
      </w:pPr>
      <w:rPr>
        <w:rFonts w:ascii="Franklin Gothic Book" w:hAnsi="Franklin Gothic Book"/>
        <w:color w:val="auto"/>
        <w:sz w:val="24"/>
      </w:rPr>
    </w:lvl>
    <w:lvl w:ilvl="1">
      <w:start w:val="1"/>
      <w:numFmt w:val="upperLetter"/>
      <w:lvlText w:val="%2)"/>
      <w:lvlJc w:val="left"/>
      <w:pPr>
        <w:tabs>
          <w:tab w:val="num" w:pos="720"/>
        </w:tabs>
        <w:ind w:left="720" w:hanging="360"/>
      </w:pPr>
      <w:rPr>
        <w:rFonts w:ascii="Franklin Gothic Book" w:hAnsi="Franklin Gothic Book"/>
        <w:color w:val="auto"/>
        <w:sz w:val="24"/>
      </w:rPr>
    </w:lvl>
    <w:lvl w:ilvl="2">
      <w:start w:val="1"/>
      <w:numFmt w:val="lowerRoman"/>
      <w:lvlText w:val="%3)"/>
      <w:lvlJc w:val="left"/>
      <w:pPr>
        <w:tabs>
          <w:tab w:val="num" w:pos="1080"/>
        </w:tabs>
        <w:ind w:left="1080" w:hanging="360"/>
      </w:pPr>
      <w:rPr>
        <w:rFonts w:ascii="Franklin Gothic Book" w:hAnsi="Franklin Gothic Book"/>
        <w:color w:val="auto"/>
        <w:sz w:val="24"/>
      </w:rPr>
    </w:lvl>
    <w:lvl w:ilvl="3">
      <w:start w:val="1"/>
      <w:numFmt w:val="lowerLetter"/>
      <w:lvlText w:val="(%4)"/>
      <w:lvlJc w:val="left"/>
      <w:pPr>
        <w:tabs>
          <w:tab w:val="num" w:pos="1440"/>
        </w:tabs>
        <w:ind w:left="1440" w:hanging="360"/>
      </w:pPr>
      <w:rPr>
        <w:rFonts w:ascii="Franklin Gothic Book" w:hAnsi="Franklin Gothic Book"/>
        <w:color w:val="auto"/>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CFB3114"/>
    <w:multiLevelType w:val="hybridMultilevel"/>
    <w:tmpl w:val="35C40994"/>
    <w:lvl w:ilvl="0" w:tplc="1E4CD3C4">
      <w:start w:val="1"/>
      <w:numFmt w:val="bullet"/>
      <w:lvlText w:val=""/>
      <w:lvlJc w:val="left"/>
      <w:pPr>
        <w:ind w:left="1080" w:hanging="360"/>
      </w:pPr>
      <w:rPr>
        <w:rFonts w:ascii="Symbol" w:hAnsi="Symbol" w:hint="default"/>
        <w:color w:val="F15D25" w:themeColor="accent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49C4A68"/>
    <w:multiLevelType w:val="hybridMultilevel"/>
    <w:tmpl w:val="F8E622EE"/>
    <w:lvl w:ilvl="0" w:tplc="FC944400">
      <w:start w:val="1"/>
      <w:numFmt w:val="decimal"/>
      <w:pStyle w:val="StyleNumbering"/>
      <w:lvlText w:val="%1)"/>
      <w:lvlJc w:val="left"/>
      <w:pPr>
        <w:ind w:left="720" w:hanging="360"/>
      </w:pPr>
      <w:rPr>
        <w:rFonts w:hint="default"/>
        <w:color w:val="F15D25" w:themeColor="accent4"/>
      </w:rPr>
    </w:lvl>
    <w:lvl w:ilvl="1" w:tplc="CB60A54C">
      <w:start w:val="1"/>
      <w:numFmt w:val="lowerLetter"/>
      <w:lvlText w:val="%2."/>
      <w:lvlJc w:val="left"/>
      <w:pPr>
        <w:ind w:left="1440" w:hanging="360"/>
      </w:pPr>
      <w:rPr>
        <w:rFonts w:hint="default"/>
        <w:color w:val="F15D25" w:themeColor="accent4"/>
      </w:rPr>
    </w:lvl>
    <w:lvl w:ilvl="2" w:tplc="93B29D46">
      <w:start w:val="1"/>
      <w:numFmt w:val="lowerRoman"/>
      <w:lvlText w:val="%3."/>
      <w:lvlJc w:val="right"/>
      <w:pPr>
        <w:ind w:left="2160" w:hanging="180"/>
      </w:pPr>
      <w:rPr>
        <w:rFonts w:hint="default"/>
        <w:color w:val="F15D25" w:themeColor="accent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8B74FE"/>
    <w:multiLevelType w:val="hybridMultilevel"/>
    <w:tmpl w:val="FB4E6142"/>
    <w:lvl w:ilvl="0" w:tplc="98848AF0">
      <w:start w:val="1"/>
      <w:numFmt w:val="decimal"/>
      <w:lvlText w:val="%1.0"/>
      <w:lvlJc w:val="left"/>
      <w:pPr>
        <w:ind w:left="720" w:hanging="360"/>
      </w:pPr>
    </w:lvl>
    <w:lvl w:ilvl="1" w:tplc="9D46F978">
      <w:start w:val="1"/>
      <w:numFmt w:val="lowerLetter"/>
      <w:lvlText w:val="%2."/>
      <w:lvlJc w:val="left"/>
      <w:pPr>
        <w:ind w:left="1440" w:hanging="360"/>
      </w:pPr>
    </w:lvl>
    <w:lvl w:ilvl="2" w:tplc="0EC84EF4">
      <w:start w:val="1"/>
      <w:numFmt w:val="lowerRoman"/>
      <w:lvlText w:val="%3."/>
      <w:lvlJc w:val="right"/>
      <w:pPr>
        <w:ind w:left="2160" w:hanging="180"/>
      </w:pPr>
    </w:lvl>
    <w:lvl w:ilvl="3" w:tplc="524CC262">
      <w:start w:val="1"/>
      <w:numFmt w:val="decimal"/>
      <w:lvlText w:val="%4."/>
      <w:lvlJc w:val="left"/>
      <w:pPr>
        <w:ind w:left="2880" w:hanging="360"/>
      </w:pPr>
    </w:lvl>
    <w:lvl w:ilvl="4" w:tplc="DF10F61A">
      <w:start w:val="1"/>
      <w:numFmt w:val="lowerLetter"/>
      <w:lvlText w:val="%5."/>
      <w:lvlJc w:val="left"/>
      <w:pPr>
        <w:ind w:left="3600" w:hanging="360"/>
      </w:pPr>
    </w:lvl>
    <w:lvl w:ilvl="5" w:tplc="CDFE2762">
      <w:start w:val="1"/>
      <w:numFmt w:val="lowerRoman"/>
      <w:lvlText w:val="%6."/>
      <w:lvlJc w:val="right"/>
      <w:pPr>
        <w:ind w:left="4320" w:hanging="180"/>
      </w:pPr>
    </w:lvl>
    <w:lvl w:ilvl="6" w:tplc="231EA74A">
      <w:start w:val="1"/>
      <w:numFmt w:val="decimal"/>
      <w:lvlText w:val="%7."/>
      <w:lvlJc w:val="left"/>
      <w:pPr>
        <w:ind w:left="5040" w:hanging="360"/>
      </w:pPr>
    </w:lvl>
    <w:lvl w:ilvl="7" w:tplc="69C2B85E">
      <w:start w:val="1"/>
      <w:numFmt w:val="lowerLetter"/>
      <w:lvlText w:val="%8."/>
      <w:lvlJc w:val="left"/>
      <w:pPr>
        <w:ind w:left="5760" w:hanging="360"/>
      </w:pPr>
    </w:lvl>
    <w:lvl w:ilvl="8" w:tplc="8E8AEEBA">
      <w:start w:val="1"/>
      <w:numFmt w:val="lowerRoman"/>
      <w:lvlText w:val="%9."/>
      <w:lvlJc w:val="right"/>
      <w:pPr>
        <w:ind w:left="6480" w:hanging="180"/>
      </w:pPr>
    </w:lvl>
  </w:abstractNum>
  <w:abstractNum w:abstractNumId="17" w15:restartNumberingAfterBreak="0">
    <w:nsid w:val="1837189A"/>
    <w:multiLevelType w:val="hybridMultilevel"/>
    <w:tmpl w:val="EC7CD974"/>
    <w:lvl w:ilvl="0" w:tplc="1E4CD3C4">
      <w:start w:val="1"/>
      <w:numFmt w:val="bullet"/>
      <w:lvlText w:val=""/>
      <w:lvlJc w:val="left"/>
      <w:pPr>
        <w:ind w:left="720" w:hanging="360"/>
      </w:pPr>
      <w:rPr>
        <w:rFonts w:ascii="Symbol" w:hAnsi="Symbol" w:hint="default"/>
        <w:color w:val="F15D25" w:themeColor="accent4"/>
      </w:rPr>
    </w:lvl>
    <w:lvl w:ilvl="1" w:tplc="56CC3B52">
      <w:start w:val="1"/>
      <w:numFmt w:val="bullet"/>
      <w:lvlText w:val="o"/>
      <w:lvlJc w:val="left"/>
      <w:pPr>
        <w:ind w:left="1440" w:hanging="360"/>
      </w:pPr>
      <w:rPr>
        <w:rFonts w:ascii="Courier New" w:hAnsi="Courier New" w:hint="default"/>
        <w:color w:val="F15D25" w:themeColor="accent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8396D"/>
    <w:multiLevelType w:val="multilevel"/>
    <w:tmpl w:val="120CDC52"/>
    <w:styleLink w:val="StyleEunomiaBullets"/>
    <w:lvl w:ilvl="0">
      <w:start w:val="1"/>
      <w:numFmt w:val="bullet"/>
      <w:lvlText w:val=""/>
      <w:lvlJc w:val="left"/>
      <w:pPr>
        <w:ind w:left="1080" w:hanging="360"/>
      </w:pPr>
      <w:rPr>
        <w:rFonts w:ascii="Symbol" w:hAnsi="Symbol" w:hint="default"/>
        <w:color w:val="F15D25" w:themeColor="accent4"/>
      </w:rPr>
    </w:lvl>
    <w:lvl w:ilvl="1">
      <w:start w:val="1"/>
      <w:numFmt w:val="bullet"/>
      <w:lvlText w:val="o"/>
      <w:lvlJc w:val="left"/>
      <w:pPr>
        <w:ind w:left="1800" w:hanging="360"/>
      </w:pPr>
      <w:rPr>
        <w:rFonts w:ascii="Courier New" w:hAnsi="Courier New" w:hint="default"/>
        <w:color w:val="F15D25" w:themeColor="accent4"/>
      </w:rPr>
    </w:lvl>
    <w:lvl w:ilvl="2">
      <w:start w:val="1"/>
      <w:numFmt w:val="bullet"/>
      <w:lvlText w:val=""/>
      <w:lvlJc w:val="left"/>
      <w:pPr>
        <w:ind w:left="2520" w:hanging="360"/>
      </w:pPr>
      <w:rPr>
        <w:rFonts w:ascii="Wingdings" w:hAnsi="Wingdings" w:hint="default"/>
        <w:color w:val="F15D25" w:themeColor="accent4"/>
      </w:rPr>
    </w:lvl>
    <w:lvl w:ilvl="3">
      <w:start w:val="1"/>
      <w:numFmt w:val="bullet"/>
      <w:lvlText w:val=""/>
      <w:lvlJc w:val="left"/>
      <w:pPr>
        <w:ind w:left="3240" w:hanging="360"/>
      </w:pPr>
      <w:rPr>
        <w:rFonts w:ascii="Symbol" w:hAnsi="Symbol" w:hint="default"/>
        <w:color w:val="F15D25" w:themeColor="accent4"/>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EBC75DA"/>
    <w:multiLevelType w:val="multilevel"/>
    <w:tmpl w:val="2B3E734A"/>
    <w:styleLink w:val="StyleBulleted"/>
    <w:lvl w:ilvl="0">
      <w:start w:val="1"/>
      <w:numFmt w:val="bullet"/>
      <w:lvlText w:val=""/>
      <w:lvlJc w:val="left"/>
      <w:pPr>
        <w:tabs>
          <w:tab w:val="num" w:pos="720"/>
        </w:tabs>
        <w:ind w:left="720" w:hanging="360"/>
      </w:pPr>
      <w:rPr>
        <w:rFonts w:ascii="Wingdings" w:hAnsi="Wingdings" w:hint="default"/>
        <w:color w:val="808000"/>
        <w:sz w:val="24"/>
        <w:szCs w:val="24"/>
      </w:rPr>
    </w:lvl>
    <w:lvl w:ilvl="1">
      <w:start w:val="1"/>
      <w:numFmt w:val="bullet"/>
      <w:lvlText w:val=""/>
      <w:lvlJc w:val="left"/>
      <w:pPr>
        <w:tabs>
          <w:tab w:val="num" w:pos="1440"/>
        </w:tabs>
        <w:ind w:left="1440" w:hanging="360"/>
      </w:pPr>
      <w:rPr>
        <w:rFonts w:ascii="Symbol" w:hAnsi="Symbol" w:cs="Courier New"/>
        <w:color w:val="808000"/>
      </w:rPr>
    </w:lvl>
    <w:lvl w:ilvl="2">
      <w:start w:val="1"/>
      <w:numFmt w:val="bullet"/>
      <w:lvlText w:val="o"/>
      <w:lvlJc w:val="left"/>
      <w:pPr>
        <w:tabs>
          <w:tab w:val="num" w:pos="2160"/>
        </w:tabs>
        <w:ind w:left="2160" w:hanging="360"/>
      </w:pPr>
      <w:rPr>
        <w:rFonts w:ascii="Courier New" w:hAnsi="Courier New"/>
        <w:color w:val="808000"/>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757FD"/>
    <w:multiLevelType w:val="multilevel"/>
    <w:tmpl w:val="750CCF96"/>
    <w:lvl w:ilvl="0">
      <w:start w:val="1"/>
      <w:numFmt w:val="decimal"/>
      <w:pStyle w:val="ExecSummHead1"/>
      <w:lvlText w:val="E.%1.0"/>
      <w:lvlJc w:val="left"/>
      <w:pPr>
        <w:tabs>
          <w:tab w:val="num" w:pos="432"/>
        </w:tabs>
        <w:ind w:left="432" w:hanging="432"/>
      </w:pPr>
      <w:rPr>
        <w:rFonts w:hint="default"/>
      </w:rPr>
    </w:lvl>
    <w:lvl w:ilvl="1">
      <w:start w:val="1"/>
      <w:numFmt w:val="decimal"/>
      <w:pStyle w:val="ExecSummHead2"/>
      <w:lvlText w:val="E.%1.%2"/>
      <w:lvlJc w:val="left"/>
      <w:pPr>
        <w:tabs>
          <w:tab w:val="num" w:pos="576"/>
        </w:tabs>
        <w:ind w:left="576" w:hanging="576"/>
      </w:pPr>
      <w:rPr>
        <w:rFonts w:hint="default"/>
      </w:rPr>
    </w:lvl>
    <w:lvl w:ilvl="2">
      <w:start w:val="1"/>
      <w:numFmt w:val="decimal"/>
      <w:pStyle w:val="ExecSummHead3"/>
      <w:lvlText w:val="%1.%2.%3"/>
      <w:lvlJc w:val="left"/>
      <w:pPr>
        <w:tabs>
          <w:tab w:val="num" w:pos="720"/>
        </w:tabs>
        <w:ind w:left="720" w:hanging="720"/>
      </w:pPr>
      <w:rPr>
        <w:rFonts w:hint="default"/>
      </w:rPr>
    </w:lvl>
    <w:lvl w:ilvl="3">
      <w:start w:val="1"/>
      <w:numFmt w:val="decimal"/>
      <w:pStyle w:val="ExecSummHead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4D055A"/>
    <w:multiLevelType w:val="multilevel"/>
    <w:tmpl w:val="71DC876C"/>
    <w:lvl w:ilvl="0">
      <w:start w:val="1"/>
      <w:numFmt w:val="bullet"/>
      <w:pStyle w:val="ListBullet"/>
      <w:lvlText w:val=""/>
      <w:lvlJc w:val="left"/>
      <w:pPr>
        <w:ind w:left="717" w:hanging="360"/>
      </w:pPr>
      <w:rPr>
        <w:rFonts w:ascii="Symbol" w:hAnsi="Symbol" w:hint="default"/>
        <w:color w:val="F15D25" w:themeColor="accent4"/>
      </w:rPr>
    </w:lvl>
    <w:lvl w:ilvl="1">
      <w:start w:val="1"/>
      <w:numFmt w:val="bullet"/>
      <w:lvlText w:val="o"/>
      <w:lvlJc w:val="left"/>
      <w:pPr>
        <w:ind w:left="1437" w:hanging="360"/>
      </w:pPr>
      <w:rPr>
        <w:rFonts w:ascii="Courier New" w:hAnsi="Courier New" w:hint="default"/>
        <w:color w:val="F15D25" w:themeColor="accent4"/>
      </w:rPr>
    </w:lvl>
    <w:lvl w:ilvl="2">
      <w:start w:val="1"/>
      <w:numFmt w:val="bullet"/>
      <w:lvlText w:val=""/>
      <w:lvlJc w:val="left"/>
      <w:pPr>
        <w:ind w:left="2157" w:hanging="360"/>
      </w:pPr>
      <w:rPr>
        <w:rFonts w:ascii="Wingdings" w:hAnsi="Wingdings" w:hint="default"/>
        <w:color w:val="F15D25" w:themeColor="accent4"/>
      </w:rPr>
    </w:lvl>
    <w:lvl w:ilvl="3">
      <w:start w:val="1"/>
      <w:numFmt w:val="bullet"/>
      <w:lvlText w:val=""/>
      <w:lvlJc w:val="left"/>
      <w:pPr>
        <w:ind w:left="2877" w:hanging="360"/>
      </w:pPr>
      <w:rPr>
        <w:rFonts w:ascii="Symbol" w:hAnsi="Symbol" w:hint="default"/>
        <w:color w:val="F15D25" w:themeColor="accent4"/>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2" w15:restartNumberingAfterBreak="0">
    <w:nsid w:val="4D557356"/>
    <w:multiLevelType w:val="multilevel"/>
    <w:tmpl w:val="0F4EA06C"/>
    <w:lvl w:ilvl="0">
      <w:start w:val="1"/>
      <w:numFmt w:val="decimal"/>
      <w:pStyle w:val="AppendixHeading1"/>
      <w:lvlText w:val="A.%1.0"/>
      <w:lvlJc w:val="left"/>
      <w:pPr>
        <w:tabs>
          <w:tab w:val="num" w:pos="1152"/>
        </w:tabs>
        <w:ind w:left="1152" w:hanging="432"/>
      </w:pPr>
      <w:rPr>
        <w:rFonts w:hint="default"/>
      </w:rPr>
    </w:lvl>
    <w:lvl w:ilvl="1">
      <w:start w:val="1"/>
      <w:numFmt w:val="decimal"/>
      <w:pStyle w:val="AppendixHeading2"/>
      <w:lvlText w:val="A.%1.%2"/>
      <w:lvlJc w:val="left"/>
      <w:pPr>
        <w:tabs>
          <w:tab w:val="num" w:pos="1296"/>
        </w:tabs>
        <w:ind w:left="1296" w:hanging="576"/>
      </w:pPr>
      <w:rPr>
        <w:rFonts w:hint="default"/>
      </w:rPr>
    </w:lvl>
    <w:lvl w:ilvl="2">
      <w:start w:val="1"/>
      <w:numFmt w:val="decimal"/>
      <w:pStyle w:val="AppendixHeading3"/>
      <w:lvlText w:val="A.%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3" w15:restartNumberingAfterBreak="0">
    <w:nsid w:val="69D02016"/>
    <w:multiLevelType w:val="hybridMultilevel"/>
    <w:tmpl w:val="F9EC5BD4"/>
    <w:lvl w:ilvl="0" w:tplc="61BA9E5E">
      <w:start w:val="1"/>
      <w:numFmt w:val="decimal"/>
      <w:pStyle w:val="NumberedParagraphs"/>
      <w:lvlText w:val="%1."/>
      <w:lvlJc w:val="left"/>
      <w:pPr>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3A324A"/>
    <w:multiLevelType w:val="multilevel"/>
    <w:tmpl w:val="F8E622EE"/>
    <w:numStyleLink w:val="Style1"/>
  </w:abstractNum>
  <w:abstractNum w:abstractNumId="25" w15:restartNumberingAfterBreak="0">
    <w:nsid w:val="751A3888"/>
    <w:multiLevelType w:val="multilevel"/>
    <w:tmpl w:val="42D0AB6C"/>
    <w:lvl w:ilvl="0">
      <w:start w:val="1"/>
      <w:numFmt w:val="decimal"/>
      <w:lvlText w:val="%1)"/>
      <w:lvlJc w:val="left"/>
      <w:pPr>
        <w:ind w:left="720" w:hanging="360"/>
      </w:pPr>
      <w:rPr>
        <w:rFonts w:hint="default"/>
        <w:color w:val="F15D25" w:themeColor="accent4"/>
      </w:rPr>
    </w:lvl>
    <w:lvl w:ilvl="1">
      <w:start w:val="1"/>
      <w:numFmt w:val="lowerLetter"/>
      <w:lvlText w:val="%2."/>
      <w:lvlJc w:val="left"/>
      <w:pPr>
        <w:ind w:left="1440" w:hanging="360"/>
      </w:pPr>
      <w:rPr>
        <w:rFonts w:hint="default"/>
        <w:color w:val="F15D25" w:themeColor="accent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973C5D"/>
    <w:multiLevelType w:val="hybridMultilevel"/>
    <w:tmpl w:val="E61EB57C"/>
    <w:lvl w:ilvl="0" w:tplc="1E4CD3C4">
      <w:start w:val="1"/>
      <w:numFmt w:val="bullet"/>
      <w:lvlText w:val=""/>
      <w:lvlJc w:val="left"/>
      <w:pPr>
        <w:ind w:left="720" w:hanging="360"/>
      </w:pPr>
      <w:rPr>
        <w:rFonts w:ascii="Symbol" w:hAnsi="Symbol" w:hint="default"/>
        <w:color w:val="F15D25" w:themeColor="accent4"/>
      </w:rPr>
    </w:lvl>
    <w:lvl w:ilvl="1" w:tplc="56CC3B52">
      <w:start w:val="1"/>
      <w:numFmt w:val="bullet"/>
      <w:lvlText w:val="o"/>
      <w:lvlJc w:val="left"/>
      <w:pPr>
        <w:ind w:left="1440" w:hanging="360"/>
      </w:pPr>
      <w:rPr>
        <w:rFonts w:ascii="Courier New" w:hAnsi="Courier New" w:hint="default"/>
        <w:color w:val="F15D25" w:themeColor="accent4"/>
      </w:rPr>
    </w:lvl>
    <w:lvl w:ilvl="2" w:tplc="06B81CF0">
      <w:start w:val="1"/>
      <w:numFmt w:val="bullet"/>
      <w:lvlText w:val=""/>
      <w:lvlJc w:val="left"/>
      <w:pPr>
        <w:ind w:left="2160" w:hanging="360"/>
      </w:pPr>
      <w:rPr>
        <w:rFonts w:ascii="Wingdings" w:hAnsi="Wingdings" w:hint="default"/>
        <w:color w:val="F15D25" w:themeColor="accent4"/>
      </w:rPr>
    </w:lvl>
    <w:lvl w:ilvl="3" w:tplc="689EE7C2">
      <w:start w:val="1"/>
      <w:numFmt w:val="bullet"/>
      <w:lvlText w:val=""/>
      <w:lvlJc w:val="left"/>
      <w:pPr>
        <w:ind w:left="2880" w:hanging="360"/>
      </w:pPr>
      <w:rPr>
        <w:rFonts w:ascii="Symbol" w:hAnsi="Symbol" w:hint="default"/>
        <w:color w:val="F15D25" w:themeColor="accent4"/>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0"/>
  </w:num>
  <w:num w:numId="4">
    <w:abstractNumId w:val="19"/>
  </w:num>
  <w:num w:numId="5">
    <w:abstractNumId w:val="22"/>
  </w:num>
  <w:num w:numId="6">
    <w:abstractNumId w:val="13"/>
  </w:num>
  <w:num w:numId="7">
    <w:abstractNumId w:val="23"/>
  </w:num>
  <w:num w:numId="8">
    <w:abstractNumId w:val="10"/>
  </w:num>
  <w:num w:numId="9">
    <w:abstractNumId w:val="21"/>
  </w:num>
  <w:num w:numId="10">
    <w:abstractNumId w:val="17"/>
  </w:num>
  <w:num w:numId="11">
    <w:abstractNumId w:val="26"/>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 w:ilvl="0">
        <w:start w:val="1"/>
        <w:numFmt w:val="bullet"/>
        <w:pStyle w:val="ListBullet"/>
        <w:lvlText w:val=""/>
        <w:lvlJc w:val="left"/>
        <w:pPr>
          <w:ind w:left="720" w:hanging="360"/>
        </w:pPr>
        <w:rPr>
          <w:rFonts w:ascii="Symbol" w:hAnsi="Symbol" w:hint="default"/>
          <w:color w:val="F15D25" w:themeColor="accent4"/>
        </w:rPr>
      </w:lvl>
    </w:lvlOverride>
    <w:lvlOverride w:ilvl="1">
      <w:lvl w:ilvl="1">
        <w:start w:val="1"/>
        <w:numFmt w:val="bullet"/>
        <w:lvlText w:val="o"/>
        <w:lvlJc w:val="left"/>
        <w:pPr>
          <w:ind w:left="1440" w:hanging="360"/>
        </w:pPr>
        <w:rPr>
          <w:rFonts w:ascii="Courier New" w:hAnsi="Courier New" w:hint="default"/>
          <w:color w:val="F15D25" w:themeColor="accent4"/>
        </w:rPr>
      </w:lvl>
    </w:lvlOverride>
    <w:lvlOverride w:ilvl="2">
      <w:lvl w:ilvl="2">
        <w:start w:val="1"/>
        <w:numFmt w:val="bullet"/>
        <w:lvlText w:val=""/>
        <w:lvlJc w:val="left"/>
        <w:pPr>
          <w:ind w:left="2160" w:hanging="360"/>
        </w:pPr>
        <w:rPr>
          <w:rFonts w:ascii="Wingdings" w:hAnsi="Wingdings" w:hint="default"/>
          <w:color w:val="F15D25" w:themeColor="accent4"/>
        </w:rPr>
      </w:lvl>
    </w:lvlOverride>
    <w:lvlOverride w:ilvl="3">
      <w:lvl w:ilvl="3">
        <w:start w:val="1"/>
        <w:numFmt w:val="bullet"/>
        <w:lvlText w:val=""/>
        <w:lvlJc w:val="left"/>
        <w:pPr>
          <w:ind w:left="2880" w:hanging="360"/>
        </w:pPr>
        <w:rPr>
          <w:rFonts w:ascii="Symbol" w:hAnsi="Symbol" w:hint="default"/>
          <w:color w:val="F15D25" w:themeColor="accent4"/>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abstractNumId w:val="20"/>
    <w:lvlOverride w:ilvl="0">
      <w:lvl w:ilvl="0">
        <w:start w:val="1"/>
        <w:numFmt w:val="decimal"/>
        <w:pStyle w:val="ExecSummHead1"/>
        <w:lvlText w:val="E.%1.0"/>
        <w:lvlJc w:val="left"/>
        <w:pPr>
          <w:tabs>
            <w:tab w:val="num" w:pos="432"/>
          </w:tabs>
          <w:ind w:left="432" w:hanging="432"/>
        </w:pPr>
        <w:rPr>
          <w:rFonts w:hint="default"/>
        </w:rPr>
      </w:lvl>
    </w:lvlOverride>
    <w:lvlOverride w:ilvl="1">
      <w:lvl w:ilvl="1">
        <w:start w:val="1"/>
        <w:numFmt w:val="decimal"/>
        <w:pStyle w:val="ExecSummHead2"/>
        <w:lvlText w:val="E.%1.%2"/>
        <w:lvlJc w:val="left"/>
        <w:pPr>
          <w:tabs>
            <w:tab w:val="num" w:pos="576"/>
          </w:tabs>
          <w:ind w:left="576" w:hanging="576"/>
        </w:pPr>
        <w:rPr>
          <w:rFonts w:hint="default"/>
        </w:rPr>
      </w:lvl>
    </w:lvlOverride>
    <w:lvlOverride w:ilvl="2">
      <w:lvl w:ilvl="2">
        <w:start w:val="1"/>
        <w:numFmt w:val="decimal"/>
        <w:pStyle w:val="ExecSummHead3"/>
        <w:lvlText w:val="E.%1.%2.%3"/>
        <w:lvlJc w:val="left"/>
        <w:pPr>
          <w:tabs>
            <w:tab w:val="num" w:pos="720"/>
          </w:tabs>
          <w:ind w:left="720" w:hanging="720"/>
        </w:pPr>
        <w:rPr>
          <w:rFonts w:hint="default"/>
        </w:rPr>
      </w:lvl>
    </w:lvlOverride>
    <w:lvlOverride w:ilvl="3">
      <w:lvl w:ilvl="3">
        <w:start w:val="1"/>
        <w:numFmt w:val="decimal"/>
        <w:pStyle w:val="ExecSummHead4"/>
        <w:lvlText w:val="E.%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6">
    <w:abstractNumId w:val="25"/>
  </w:num>
  <w:num w:numId="27">
    <w:abstractNumId w:val="14"/>
  </w:num>
  <w:num w:numId="28">
    <w:abstractNumId w:val="11"/>
  </w:num>
  <w:num w:numId="29">
    <w:abstractNumId w:val="24"/>
  </w:num>
  <w:num w:numId="30">
    <w:abstractNumId w:val="18"/>
  </w:num>
  <w:num w:numId="31">
    <w:abstractNumId w:val="12"/>
  </w:num>
  <w:num w:numId="3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de-D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86"/>
    <w:rsid w:val="000005A0"/>
    <w:rsid w:val="00000A0C"/>
    <w:rsid w:val="0000230E"/>
    <w:rsid w:val="00003751"/>
    <w:rsid w:val="0000447A"/>
    <w:rsid w:val="00004A59"/>
    <w:rsid w:val="00006202"/>
    <w:rsid w:val="00006224"/>
    <w:rsid w:val="00006C8C"/>
    <w:rsid w:val="00007A50"/>
    <w:rsid w:val="00007C8C"/>
    <w:rsid w:val="00011509"/>
    <w:rsid w:val="00012FB1"/>
    <w:rsid w:val="000130CE"/>
    <w:rsid w:val="0001470F"/>
    <w:rsid w:val="000147CC"/>
    <w:rsid w:val="00014857"/>
    <w:rsid w:val="00017202"/>
    <w:rsid w:val="000204EF"/>
    <w:rsid w:val="00022263"/>
    <w:rsid w:val="000226A3"/>
    <w:rsid w:val="000239A1"/>
    <w:rsid w:val="000243EB"/>
    <w:rsid w:val="00026136"/>
    <w:rsid w:val="0002636D"/>
    <w:rsid w:val="00030408"/>
    <w:rsid w:val="00030452"/>
    <w:rsid w:val="00035C90"/>
    <w:rsid w:val="0003609D"/>
    <w:rsid w:val="000366B2"/>
    <w:rsid w:val="00040B73"/>
    <w:rsid w:val="00041C1E"/>
    <w:rsid w:val="00043075"/>
    <w:rsid w:val="0004357E"/>
    <w:rsid w:val="0004488E"/>
    <w:rsid w:val="000455BE"/>
    <w:rsid w:val="0005699D"/>
    <w:rsid w:val="00063418"/>
    <w:rsid w:val="00063499"/>
    <w:rsid w:val="000639AF"/>
    <w:rsid w:val="0006412E"/>
    <w:rsid w:val="0006466E"/>
    <w:rsid w:val="0006497A"/>
    <w:rsid w:val="00064EEB"/>
    <w:rsid w:val="00066613"/>
    <w:rsid w:val="0006745A"/>
    <w:rsid w:val="00071189"/>
    <w:rsid w:val="00071724"/>
    <w:rsid w:val="00072AB2"/>
    <w:rsid w:val="00072BB6"/>
    <w:rsid w:val="00075595"/>
    <w:rsid w:val="000759F6"/>
    <w:rsid w:val="00081D5C"/>
    <w:rsid w:val="00083137"/>
    <w:rsid w:val="00083953"/>
    <w:rsid w:val="00084654"/>
    <w:rsid w:val="00084F33"/>
    <w:rsid w:val="00086A0C"/>
    <w:rsid w:val="00090298"/>
    <w:rsid w:val="0009460C"/>
    <w:rsid w:val="000A0D3E"/>
    <w:rsid w:val="000A19D2"/>
    <w:rsid w:val="000A2F30"/>
    <w:rsid w:val="000A331E"/>
    <w:rsid w:val="000A363C"/>
    <w:rsid w:val="000A4AAA"/>
    <w:rsid w:val="000A5FC3"/>
    <w:rsid w:val="000A6E2D"/>
    <w:rsid w:val="000A79F6"/>
    <w:rsid w:val="000B08FB"/>
    <w:rsid w:val="000B0A43"/>
    <w:rsid w:val="000B1347"/>
    <w:rsid w:val="000B1F8C"/>
    <w:rsid w:val="000B3BFE"/>
    <w:rsid w:val="000B60DD"/>
    <w:rsid w:val="000B6770"/>
    <w:rsid w:val="000C0DD3"/>
    <w:rsid w:val="000C53DB"/>
    <w:rsid w:val="000C589E"/>
    <w:rsid w:val="000C59D6"/>
    <w:rsid w:val="000C68E5"/>
    <w:rsid w:val="000C69AC"/>
    <w:rsid w:val="000D24A7"/>
    <w:rsid w:val="000D52BB"/>
    <w:rsid w:val="000D5445"/>
    <w:rsid w:val="000D6992"/>
    <w:rsid w:val="000E2274"/>
    <w:rsid w:val="000E29A7"/>
    <w:rsid w:val="000E3F34"/>
    <w:rsid w:val="000E5636"/>
    <w:rsid w:val="000F2635"/>
    <w:rsid w:val="000F2B84"/>
    <w:rsid w:val="000F357B"/>
    <w:rsid w:val="000F5CB1"/>
    <w:rsid w:val="000F664C"/>
    <w:rsid w:val="000F6A37"/>
    <w:rsid w:val="000F7674"/>
    <w:rsid w:val="00100175"/>
    <w:rsid w:val="00101732"/>
    <w:rsid w:val="00103248"/>
    <w:rsid w:val="00103688"/>
    <w:rsid w:val="00104769"/>
    <w:rsid w:val="00106D44"/>
    <w:rsid w:val="00107167"/>
    <w:rsid w:val="00107ED9"/>
    <w:rsid w:val="00110DBB"/>
    <w:rsid w:val="001139A9"/>
    <w:rsid w:val="00114001"/>
    <w:rsid w:val="001174BA"/>
    <w:rsid w:val="00117D22"/>
    <w:rsid w:val="00117F79"/>
    <w:rsid w:val="00121472"/>
    <w:rsid w:val="001240EA"/>
    <w:rsid w:val="00125942"/>
    <w:rsid w:val="00126C17"/>
    <w:rsid w:val="00127624"/>
    <w:rsid w:val="001306CD"/>
    <w:rsid w:val="00132C11"/>
    <w:rsid w:val="00132E8D"/>
    <w:rsid w:val="00133CA2"/>
    <w:rsid w:val="00136C72"/>
    <w:rsid w:val="0014060A"/>
    <w:rsid w:val="001417E2"/>
    <w:rsid w:val="0014385F"/>
    <w:rsid w:val="00150C46"/>
    <w:rsid w:val="00151081"/>
    <w:rsid w:val="00151F82"/>
    <w:rsid w:val="001525FD"/>
    <w:rsid w:val="00154AC2"/>
    <w:rsid w:val="00157A9D"/>
    <w:rsid w:val="001601D8"/>
    <w:rsid w:val="00160AB8"/>
    <w:rsid w:val="00165BD1"/>
    <w:rsid w:val="00171CC8"/>
    <w:rsid w:val="00172118"/>
    <w:rsid w:val="00175417"/>
    <w:rsid w:val="00180C76"/>
    <w:rsid w:val="00181FC9"/>
    <w:rsid w:val="001831A2"/>
    <w:rsid w:val="00183DE0"/>
    <w:rsid w:val="0018460B"/>
    <w:rsid w:val="00185AE9"/>
    <w:rsid w:val="0018756B"/>
    <w:rsid w:val="0018793D"/>
    <w:rsid w:val="001879AC"/>
    <w:rsid w:val="00190CC6"/>
    <w:rsid w:val="001921C2"/>
    <w:rsid w:val="00192654"/>
    <w:rsid w:val="001933D4"/>
    <w:rsid w:val="00194F7E"/>
    <w:rsid w:val="0019544E"/>
    <w:rsid w:val="00196884"/>
    <w:rsid w:val="001979E3"/>
    <w:rsid w:val="001A0BB5"/>
    <w:rsid w:val="001A1007"/>
    <w:rsid w:val="001A153F"/>
    <w:rsid w:val="001A1F86"/>
    <w:rsid w:val="001A26B8"/>
    <w:rsid w:val="001A2966"/>
    <w:rsid w:val="001A31C0"/>
    <w:rsid w:val="001A5B0E"/>
    <w:rsid w:val="001A5B9D"/>
    <w:rsid w:val="001A65F0"/>
    <w:rsid w:val="001B04C0"/>
    <w:rsid w:val="001B74B5"/>
    <w:rsid w:val="001C45DF"/>
    <w:rsid w:val="001C6FC0"/>
    <w:rsid w:val="001C72DD"/>
    <w:rsid w:val="001D0146"/>
    <w:rsid w:val="001D0517"/>
    <w:rsid w:val="001D2F89"/>
    <w:rsid w:val="001D33D8"/>
    <w:rsid w:val="001D7761"/>
    <w:rsid w:val="001E05DD"/>
    <w:rsid w:val="001E08D9"/>
    <w:rsid w:val="001E1670"/>
    <w:rsid w:val="001E2EF6"/>
    <w:rsid w:val="001E3993"/>
    <w:rsid w:val="001E3B11"/>
    <w:rsid w:val="001E4841"/>
    <w:rsid w:val="001F04E1"/>
    <w:rsid w:val="001F30F9"/>
    <w:rsid w:val="001F31F8"/>
    <w:rsid w:val="001F3A19"/>
    <w:rsid w:val="001F3AD1"/>
    <w:rsid w:val="00200DB5"/>
    <w:rsid w:val="002077D5"/>
    <w:rsid w:val="0021013E"/>
    <w:rsid w:val="00211502"/>
    <w:rsid w:val="00212081"/>
    <w:rsid w:val="0021292F"/>
    <w:rsid w:val="00212E2A"/>
    <w:rsid w:val="002177AB"/>
    <w:rsid w:val="00217A0F"/>
    <w:rsid w:val="00225643"/>
    <w:rsid w:val="00226902"/>
    <w:rsid w:val="00226BA7"/>
    <w:rsid w:val="00226D65"/>
    <w:rsid w:val="00227100"/>
    <w:rsid w:val="00227ED9"/>
    <w:rsid w:val="00230422"/>
    <w:rsid w:val="0023326B"/>
    <w:rsid w:val="0023455B"/>
    <w:rsid w:val="00235A00"/>
    <w:rsid w:val="00235EFE"/>
    <w:rsid w:val="0023758A"/>
    <w:rsid w:val="00237809"/>
    <w:rsid w:val="0024030B"/>
    <w:rsid w:val="002438B7"/>
    <w:rsid w:val="00243A7D"/>
    <w:rsid w:val="002456D0"/>
    <w:rsid w:val="00246A6D"/>
    <w:rsid w:val="0024734E"/>
    <w:rsid w:val="00247836"/>
    <w:rsid w:val="00247927"/>
    <w:rsid w:val="00247A89"/>
    <w:rsid w:val="00250EA7"/>
    <w:rsid w:val="00253964"/>
    <w:rsid w:val="00253966"/>
    <w:rsid w:val="0025520E"/>
    <w:rsid w:val="00255B2C"/>
    <w:rsid w:val="00256BCA"/>
    <w:rsid w:val="002620B3"/>
    <w:rsid w:val="0026220B"/>
    <w:rsid w:val="00263BE6"/>
    <w:rsid w:val="002653C9"/>
    <w:rsid w:val="00266948"/>
    <w:rsid w:val="00270333"/>
    <w:rsid w:val="00270CEA"/>
    <w:rsid w:val="00271E58"/>
    <w:rsid w:val="0027261C"/>
    <w:rsid w:val="00276F3D"/>
    <w:rsid w:val="0027753C"/>
    <w:rsid w:val="00277DFD"/>
    <w:rsid w:val="00277EAD"/>
    <w:rsid w:val="00283B0C"/>
    <w:rsid w:val="00285AC1"/>
    <w:rsid w:val="00286388"/>
    <w:rsid w:val="0028784E"/>
    <w:rsid w:val="0029084E"/>
    <w:rsid w:val="0029497E"/>
    <w:rsid w:val="002958DD"/>
    <w:rsid w:val="00297651"/>
    <w:rsid w:val="002A15E7"/>
    <w:rsid w:val="002A1F3D"/>
    <w:rsid w:val="002A437F"/>
    <w:rsid w:val="002A5778"/>
    <w:rsid w:val="002A5B5C"/>
    <w:rsid w:val="002A67CF"/>
    <w:rsid w:val="002A770B"/>
    <w:rsid w:val="002B075E"/>
    <w:rsid w:val="002B2C67"/>
    <w:rsid w:val="002B330F"/>
    <w:rsid w:val="002B39E9"/>
    <w:rsid w:val="002B5792"/>
    <w:rsid w:val="002C0485"/>
    <w:rsid w:val="002C06B6"/>
    <w:rsid w:val="002C0B9C"/>
    <w:rsid w:val="002C25E7"/>
    <w:rsid w:val="002C41C3"/>
    <w:rsid w:val="002C4612"/>
    <w:rsid w:val="002C4A71"/>
    <w:rsid w:val="002D0255"/>
    <w:rsid w:val="002D37BE"/>
    <w:rsid w:val="002D37F8"/>
    <w:rsid w:val="002D4A3E"/>
    <w:rsid w:val="002D5A21"/>
    <w:rsid w:val="002D69AE"/>
    <w:rsid w:val="002D6C3F"/>
    <w:rsid w:val="002E02E2"/>
    <w:rsid w:val="002E1DAD"/>
    <w:rsid w:val="002E44BC"/>
    <w:rsid w:val="002E5556"/>
    <w:rsid w:val="002E5634"/>
    <w:rsid w:val="002F1C97"/>
    <w:rsid w:val="002F334F"/>
    <w:rsid w:val="002F482E"/>
    <w:rsid w:val="002F54FB"/>
    <w:rsid w:val="002F6D0D"/>
    <w:rsid w:val="00300E69"/>
    <w:rsid w:val="00301788"/>
    <w:rsid w:val="00301F57"/>
    <w:rsid w:val="00304F47"/>
    <w:rsid w:val="00305EA2"/>
    <w:rsid w:val="00306B3B"/>
    <w:rsid w:val="003160A7"/>
    <w:rsid w:val="0031622E"/>
    <w:rsid w:val="003169D1"/>
    <w:rsid w:val="0031743D"/>
    <w:rsid w:val="00317ACF"/>
    <w:rsid w:val="0032078C"/>
    <w:rsid w:val="0032245C"/>
    <w:rsid w:val="00323A4E"/>
    <w:rsid w:val="00325477"/>
    <w:rsid w:val="00327722"/>
    <w:rsid w:val="00331EB2"/>
    <w:rsid w:val="003320E3"/>
    <w:rsid w:val="00332202"/>
    <w:rsid w:val="00332D94"/>
    <w:rsid w:val="003346C9"/>
    <w:rsid w:val="00336B86"/>
    <w:rsid w:val="003375DF"/>
    <w:rsid w:val="0033797C"/>
    <w:rsid w:val="00342952"/>
    <w:rsid w:val="00342DE9"/>
    <w:rsid w:val="00346CD3"/>
    <w:rsid w:val="00346D21"/>
    <w:rsid w:val="00346FCA"/>
    <w:rsid w:val="003470FD"/>
    <w:rsid w:val="0034725C"/>
    <w:rsid w:val="00350098"/>
    <w:rsid w:val="00350228"/>
    <w:rsid w:val="00350DF1"/>
    <w:rsid w:val="00353FEA"/>
    <w:rsid w:val="003540A8"/>
    <w:rsid w:val="00354C4A"/>
    <w:rsid w:val="0035621D"/>
    <w:rsid w:val="003606C7"/>
    <w:rsid w:val="003615E4"/>
    <w:rsid w:val="003617BD"/>
    <w:rsid w:val="0036213A"/>
    <w:rsid w:val="00362B44"/>
    <w:rsid w:val="00363F03"/>
    <w:rsid w:val="0036422A"/>
    <w:rsid w:val="00365B05"/>
    <w:rsid w:val="003661DF"/>
    <w:rsid w:val="0036788B"/>
    <w:rsid w:val="00370067"/>
    <w:rsid w:val="00370BBA"/>
    <w:rsid w:val="00371A7E"/>
    <w:rsid w:val="0037403C"/>
    <w:rsid w:val="003740AB"/>
    <w:rsid w:val="00380409"/>
    <w:rsid w:val="00380B23"/>
    <w:rsid w:val="00382020"/>
    <w:rsid w:val="003839AD"/>
    <w:rsid w:val="0038506A"/>
    <w:rsid w:val="003871B0"/>
    <w:rsid w:val="003918C8"/>
    <w:rsid w:val="00391E27"/>
    <w:rsid w:val="00393D3E"/>
    <w:rsid w:val="00393DE1"/>
    <w:rsid w:val="00394527"/>
    <w:rsid w:val="00395A9E"/>
    <w:rsid w:val="00397208"/>
    <w:rsid w:val="003973F6"/>
    <w:rsid w:val="003A0833"/>
    <w:rsid w:val="003A6BF8"/>
    <w:rsid w:val="003B1AAE"/>
    <w:rsid w:val="003B42EC"/>
    <w:rsid w:val="003B46F4"/>
    <w:rsid w:val="003B54C8"/>
    <w:rsid w:val="003B648F"/>
    <w:rsid w:val="003B6974"/>
    <w:rsid w:val="003B73D1"/>
    <w:rsid w:val="003C1DE4"/>
    <w:rsid w:val="003C374E"/>
    <w:rsid w:val="003C3E14"/>
    <w:rsid w:val="003C6146"/>
    <w:rsid w:val="003C6BB1"/>
    <w:rsid w:val="003C7298"/>
    <w:rsid w:val="003C76A9"/>
    <w:rsid w:val="003C7FCE"/>
    <w:rsid w:val="003D237A"/>
    <w:rsid w:val="003D4354"/>
    <w:rsid w:val="003D6CAB"/>
    <w:rsid w:val="003D76C3"/>
    <w:rsid w:val="003E1B79"/>
    <w:rsid w:val="003E32F7"/>
    <w:rsid w:val="003E44A8"/>
    <w:rsid w:val="003E5162"/>
    <w:rsid w:val="003E673F"/>
    <w:rsid w:val="003E67C2"/>
    <w:rsid w:val="003E6E2A"/>
    <w:rsid w:val="003F0E3C"/>
    <w:rsid w:val="003F3525"/>
    <w:rsid w:val="003F6A9D"/>
    <w:rsid w:val="0040065C"/>
    <w:rsid w:val="00400B5C"/>
    <w:rsid w:val="0040145C"/>
    <w:rsid w:val="004056A2"/>
    <w:rsid w:val="00406C05"/>
    <w:rsid w:val="0041051C"/>
    <w:rsid w:val="00411D09"/>
    <w:rsid w:val="00414186"/>
    <w:rsid w:val="00416E3D"/>
    <w:rsid w:val="0041715B"/>
    <w:rsid w:val="004253BC"/>
    <w:rsid w:val="0042773C"/>
    <w:rsid w:val="00427D4D"/>
    <w:rsid w:val="004304EA"/>
    <w:rsid w:val="00432B23"/>
    <w:rsid w:val="00432B4B"/>
    <w:rsid w:val="00434F0C"/>
    <w:rsid w:val="004403B5"/>
    <w:rsid w:val="00440AE3"/>
    <w:rsid w:val="00440BC3"/>
    <w:rsid w:val="00440D67"/>
    <w:rsid w:val="00441ABA"/>
    <w:rsid w:val="004469B2"/>
    <w:rsid w:val="00447CDE"/>
    <w:rsid w:val="004500CF"/>
    <w:rsid w:val="004500F7"/>
    <w:rsid w:val="004521F3"/>
    <w:rsid w:val="00452200"/>
    <w:rsid w:val="004526E4"/>
    <w:rsid w:val="004545EF"/>
    <w:rsid w:val="00454713"/>
    <w:rsid w:val="0045553E"/>
    <w:rsid w:val="004559FB"/>
    <w:rsid w:val="00456455"/>
    <w:rsid w:val="004601FE"/>
    <w:rsid w:val="00460389"/>
    <w:rsid w:val="00460B5E"/>
    <w:rsid w:val="004620F2"/>
    <w:rsid w:val="00464148"/>
    <w:rsid w:val="00464D2C"/>
    <w:rsid w:val="00467923"/>
    <w:rsid w:val="0047058A"/>
    <w:rsid w:val="00471D65"/>
    <w:rsid w:val="004725BC"/>
    <w:rsid w:val="0047327F"/>
    <w:rsid w:val="0047510E"/>
    <w:rsid w:val="00476916"/>
    <w:rsid w:val="00476AC3"/>
    <w:rsid w:val="0048108E"/>
    <w:rsid w:val="00482DA0"/>
    <w:rsid w:val="00483480"/>
    <w:rsid w:val="00483525"/>
    <w:rsid w:val="004861A2"/>
    <w:rsid w:val="00486EB8"/>
    <w:rsid w:val="00487675"/>
    <w:rsid w:val="00490DD1"/>
    <w:rsid w:val="00491ECC"/>
    <w:rsid w:val="0049276F"/>
    <w:rsid w:val="00493048"/>
    <w:rsid w:val="0049465E"/>
    <w:rsid w:val="00495E85"/>
    <w:rsid w:val="004A3BB7"/>
    <w:rsid w:val="004A75E8"/>
    <w:rsid w:val="004B0393"/>
    <w:rsid w:val="004B1EDE"/>
    <w:rsid w:val="004B4DFA"/>
    <w:rsid w:val="004B5FAB"/>
    <w:rsid w:val="004B60B5"/>
    <w:rsid w:val="004B6A88"/>
    <w:rsid w:val="004C1C6C"/>
    <w:rsid w:val="004C23C2"/>
    <w:rsid w:val="004D1BAF"/>
    <w:rsid w:val="004D457C"/>
    <w:rsid w:val="004D5080"/>
    <w:rsid w:val="004D7351"/>
    <w:rsid w:val="004D7DB3"/>
    <w:rsid w:val="004E0F52"/>
    <w:rsid w:val="004E3D59"/>
    <w:rsid w:val="004E423C"/>
    <w:rsid w:val="004E4319"/>
    <w:rsid w:val="004E72A9"/>
    <w:rsid w:val="004F0608"/>
    <w:rsid w:val="004F0A13"/>
    <w:rsid w:val="004F0C75"/>
    <w:rsid w:val="004F137E"/>
    <w:rsid w:val="004F20F8"/>
    <w:rsid w:val="004F50E6"/>
    <w:rsid w:val="004F673F"/>
    <w:rsid w:val="004F720A"/>
    <w:rsid w:val="005006C2"/>
    <w:rsid w:val="00500ABE"/>
    <w:rsid w:val="00501CE8"/>
    <w:rsid w:val="0050232F"/>
    <w:rsid w:val="00504A45"/>
    <w:rsid w:val="00505590"/>
    <w:rsid w:val="00513561"/>
    <w:rsid w:val="005173D6"/>
    <w:rsid w:val="00517D48"/>
    <w:rsid w:val="005228C6"/>
    <w:rsid w:val="005234B9"/>
    <w:rsid w:val="0052500A"/>
    <w:rsid w:val="0052632A"/>
    <w:rsid w:val="00526B3B"/>
    <w:rsid w:val="005278F6"/>
    <w:rsid w:val="00533ED2"/>
    <w:rsid w:val="005340FA"/>
    <w:rsid w:val="00534D63"/>
    <w:rsid w:val="00537AD9"/>
    <w:rsid w:val="005401D7"/>
    <w:rsid w:val="00542599"/>
    <w:rsid w:val="0054390B"/>
    <w:rsid w:val="0054591E"/>
    <w:rsid w:val="00547A5B"/>
    <w:rsid w:val="00547A6A"/>
    <w:rsid w:val="00553437"/>
    <w:rsid w:val="0055365E"/>
    <w:rsid w:val="00553FB8"/>
    <w:rsid w:val="00554963"/>
    <w:rsid w:val="005555A7"/>
    <w:rsid w:val="00556276"/>
    <w:rsid w:val="005575C2"/>
    <w:rsid w:val="005612C0"/>
    <w:rsid w:val="005617A1"/>
    <w:rsid w:val="005618A6"/>
    <w:rsid w:val="0056403A"/>
    <w:rsid w:val="00564719"/>
    <w:rsid w:val="0056474C"/>
    <w:rsid w:val="00565BD2"/>
    <w:rsid w:val="00565CF7"/>
    <w:rsid w:val="00566040"/>
    <w:rsid w:val="0057017A"/>
    <w:rsid w:val="00573ADD"/>
    <w:rsid w:val="00574129"/>
    <w:rsid w:val="005748DF"/>
    <w:rsid w:val="005750DE"/>
    <w:rsid w:val="00577776"/>
    <w:rsid w:val="0058084D"/>
    <w:rsid w:val="005810A3"/>
    <w:rsid w:val="00581BC5"/>
    <w:rsid w:val="005826F0"/>
    <w:rsid w:val="00583DAA"/>
    <w:rsid w:val="005879D2"/>
    <w:rsid w:val="00590B44"/>
    <w:rsid w:val="00591045"/>
    <w:rsid w:val="00595342"/>
    <w:rsid w:val="00595B5E"/>
    <w:rsid w:val="0059702B"/>
    <w:rsid w:val="00597FF0"/>
    <w:rsid w:val="005A0086"/>
    <w:rsid w:val="005A2008"/>
    <w:rsid w:val="005A4C8C"/>
    <w:rsid w:val="005A5B73"/>
    <w:rsid w:val="005A6E97"/>
    <w:rsid w:val="005A6FA2"/>
    <w:rsid w:val="005B01EF"/>
    <w:rsid w:val="005B39B0"/>
    <w:rsid w:val="005B457C"/>
    <w:rsid w:val="005B788C"/>
    <w:rsid w:val="005B7F41"/>
    <w:rsid w:val="005C0BCD"/>
    <w:rsid w:val="005C0D0D"/>
    <w:rsid w:val="005C1422"/>
    <w:rsid w:val="005C15B1"/>
    <w:rsid w:val="005C17FE"/>
    <w:rsid w:val="005C4A19"/>
    <w:rsid w:val="005C7A4A"/>
    <w:rsid w:val="005D1780"/>
    <w:rsid w:val="005D1D26"/>
    <w:rsid w:val="005D4006"/>
    <w:rsid w:val="005D4107"/>
    <w:rsid w:val="005D5C35"/>
    <w:rsid w:val="005D5FDF"/>
    <w:rsid w:val="005D7082"/>
    <w:rsid w:val="005E0974"/>
    <w:rsid w:val="005E0E10"/>
    <w:rsid w:val="005E2D56"/>
    <w:rsid w:val="005E5277"/>
    <w:rsid w:val="005E761F"/>
    <w:rsid w:val="005E797A"/>
    <w:rsid w:val="005F1F46"/>
    <w:rsid w:val="005F22EE"/>
    <w:rsid w:val="005F4171"/>
    <w:rsid w:val="005F4F17"/>
    <w:rsid w:val="005F5EBE"/>
    <w:rsid w:val="005F5F46"/>
    <w:rsid w:val="005F676E"/>
    <w:rsid w:val="00601427"/>
    <w:rsid w:val="00604C9F"/>
    <w:rsid w:val="00606242"/>
    <w:rsid w:val="0060735E"/>
    <w:rsid w:val="0061115A"/>
    <w:rsid w:val="00611266"/>
    <w:rsid w:val="00611D67"/>
    <w:rsid w:val="00612190"/>
    <w:rsid w:val="00612641"/>
    <w:rsid w:val="006143F5"/>
    <w:rsid w:val="00617DB9"/>
    <w:rsid w:val="00622401"/>
    <w:rsid w:val="006231B2"/>
    <w:rsid w:val="00624CD9"/>
    <w:rsid w:val="00625242"/>
    <w:rsid w:val="0062676B"/>
    <w:rsid w:val="00632E5A"/>
    <w:rsid w:val="0063379E"/>
    <w:rsid w:val="00635623"/>
    <w:rsid w:val="00636604"/>
    <w:rsid w:val="006409C0"/>
    <w:rsid w:val="00640E54"/>
    <w:rsid w:val="00642C10"/>
    <w:rsid w:val="00643055"/>
    <w:rsid w:val="00644BBF"/>
    <w:rsid w:val="006460A3"/>
    <w:rsid w:val="00651DA2"/>
    <w:rsid w:val="006520DC"/>
    <w:rsid w:val="00655479"/>
    <w:rsid w:val="0065686A"/>
    <w:rsid w:val="00656DF9"/>
    <w:rsid w:val="00664068"/>
    <w:rsid w:val="006647E2"/>
    <w:rsid w:val="00665506"/>
    <w:rsid w:val="00666BFD"/>
    <w:rsid w:val="0066745A"/>
    <w:rsid w:val="0067204A"/>
    <w:rsid w:val="006729F7"/>
    <w:rsid w:val="00672ACE"/>
    <w:rsid w:val="00674A8D"/>
    <w:rsid w:val="00677167"/>
    <w:rsid w:val="006809E0"/>
    <w:rsid w:val="00680A4A"/>
    <w:rsid w:val="00685694"/>
    <w:rsid w:val="0068689C"/>
    <w:rsid w:val="00686C3C"/>
    <w:rsid w:val="006875C1"/>
    <w:rsid w:val="0068792B"/>
    <w:rsid w:val="0069061B"/>
    <w:rsid w:val="00692CC8"/>
    <w:rsid w:val="006933CB"/>
    <w:rsid w:val="0069362E"/>
    <w:rsid w:val="006A084C"/>
    <w:rsid w:val="006A0D8C"/>
    <w:rsid w:val="006A0EE3"/>
    <w:rsid w:val="006A1540"/>
    <w:rsid w:val="006A1A38"/>
    <w:rsid w:val="006A42E2"/>
    <w:rsid w:val="006A43D5"/>
    <w:rsid w:val="006A6777"/>
    <w:rsid w:val="006B0C19"/>
    <w:rsid w:val="006B0DFB"/>
    <w:rsid w:val="006B1BBE"/>
    <w:rsid w:val="006B27C2"/>
    <w:rsid w:val="006B3B7D"/>
    <w:rsid w:val="006B42CC"/>
    <w:rsid w:val="006B4350"/>
    <w:rsid w:val="006B5EDD"/>
    <w:rsid w:val="006C269D"/>
    <w:rsid w:val="006C4C6E"/>
    <w:rsid w:val="006C4D76"/>
    <w:rsid w:val="006C692D"/>
    <w:rsid w:val="006C9E95"/>
    <w:rsid w:val="006D6790"/>
    <w:rsid w:val="006D67E3"/>
    <w:rsid w:val="006D6842"/>
    <w:rsid w:val="006D70BD"/>
    <w:rsid w:val="006E2447"/>
    <w:rsid w:val="006E2C9B"/>
    <w:rsid w:val="006E3605"/>
    <w:rsid w:val="006E5693"/>
    <w:rsid w:val="006E639F"/>
    <w:rsid w:val="006E6B11"/>
    <w:rsid w:val="006E722D"/>
    <w:rsid w:val="006E7AB4"/>
    <w:rsid w:val="006F2B88"/>
    <w:rsid w:val="006F3365"/>
    <w:rsid w:val="006F3951"/>
    <w:rsid w:val="006F4140"/>
    <w:rsid w:val="006F44B2"/>
    <w:rsid w:val="006F4970"/>
    <w:rsid w:val="006F67CB"/>
    <w:rsid w:val="007046BA"/>
    <w:rsid w:val="00706D56"/>
    <w:rsid w:val="00707CC6"/>
    <w:rsid w:val="00707FB2"/>
    <w:rsid w:val="007103EB"/>
    <w:rsid w:val="00716C20"/>
    <w:rsid w:val="00721065"/>
    <w:rsid w:val="0072345F"/>
    <w:rsid w:val="00730712"/>
    <w:rsid w:val="00732825"/>
    <w:rsid w:val="007346E1"/>
    <w:rsid w:val="00735A01"/>
    <w:rsid w:val="007377B1"/>
    <w:rsid w:val="007415E9"/>
    <w:rsid w:val="00742851"/>
    <w:rsid w:val="0074455F"/>
    <w:rsid w:val="00747411"/>
    <w:rsid w:val="00747474"/>
    <w:rsid w:val="00751362"/>
    <w:rsid w:val="00752486"/>
    <w:rsid w:val="00752758"/>
    <w:rsid w:val="00756600"/>
    <w:rsid w:val="00756C36"/>
    <w:rsid w:val="007621B3"/>
    <w:rsid w:val="007623EA"/>
    <w:rsid w:val="00762A1C"/>
    <w:rsid w:val="00762F60"/>
    <w:rsid w:val="00765950"/>
    <w:rsid w:val="00766645"/>
    <w:rsid w:val="00771290"/>
    <w:rsid w:val="00772746"/>
    <w:rsid w:val="00773146"/>
    <w:rsid w:val="00780B34"/>
    <w:rsid w:val="00780D50"/>
    <w:rsid w:val="00781999"/>
    <w:rsid w:val="0078297B"/>
    <w:rsid w:val="00782C74"/>
    <w:rsid w:val="00784C49"/>
    <w:rsid w:val="007853D5"/>
    <w:rsid w:val="00787B7E"/>
    <w:rsid w:val="007900C8"/>
    <w:rsid w:val="00791AF0"/>
    <w:rsid w:val="007958A7"/>
    <w:rsid w:val="00795DCC"/>
    <w:rsid w:val="00795F8A"/>
    <w:rsid w:val="0079795A"/>
    <w:rsid w:val="007A48E3"/>
    <w:rsid w:val="007A5707"/>
    <w:rsid w:val="007A5F96"/>
    <w:rsid w:val="007A6A8A"/>
    <w:rsid w:val="007A76B5"/>
    <w:rsid w:val="007B3014"/>
    <w:rsid w:val="007B4130"/>
    <w:rsid w:val="007B595A"/>
    <w:rsid w:val="007C3133"/>
    <w:rsid w:val="007C37DD"/>
    <w:rsid w:val="007C3B2A"/>
    <w:rsid w:val="007C48DA"/>
    <w:rsid w:val="007C5574"/>
    <w:rsid w:val="007C65E2"/>
    <w:rsid w:val="007C698C"/>
    <w:rsid w:val="007C711F"/>
    <w:rsid w:val="007D18D5"/>
    <w:rsid w:val="007D286D"/>
    <w:rsid w:val="007D4700"/>
    <w:rsid w:val="007D4779"/>
    <w:rsid w:val="007D50BF"/>
    <w:rsid w:val="007D6F67"/>
    <w:rsid w:val="007E0329"/>
    <w:rsid w:val="007E29A2"/>
    <w:rsid w:val="007F1D76"/>
    <w:rsid w:val="007F31E2"/>
    <w:rsid w:val="007F3FDA"/>
    <w:rsid w:val="008007B7"/>
    <w:rsid w:val="00800EA7"/>
    <w:rsid w:val="00800F32"/>
    <w:rsid w:val="00801E2E"/>
    <w:rsid w:val="00802521"/>
    <w:rsid w:val="00805ABA"/>
    <w:rsid w:val="00807C9E"/>
    <w:rsid w:val="008119D7"/>
    <w:rsid w:val="00814000"/>
    <w:rsid w:val="008144B0"/>
    <w:rsid w:val="00817AB7"/>
    <w:rsid w:val="00817E47"/>
    <w:rsid w:val="0082134A"/>
    <w:rsid w:val="00822CE1"/>
    <w:rsid w:val="008247C6"/>
    <w:rsid w:val="0083288C"/>
    <w:rsid w:val="00837350"/>
    <w:rsid w:val="00837FF4"/>
    <w:rsid w:val="00840BE8"/>
    <w:rsid w:val="00843F4A"/>
    <w:rsid w:val="008464DA"/>
    <w:rsid w:val="00846DEA"/>
    <w:rsid w:val="008505FD"/>
    <w:rsid w:val="00851C1D"/>
    <w:rsid w:val="00852DEE"/>
    <w:rsid w:val="0085429B"/>
    <w:rsid w:val="0085563B"/>
    <w:rsid w:val="00856740"/>
    <w:rsid w:val="008575E4"/>
    <w:rsid w:val="00863A50"/>
    <w:rsid w:val="00864601"/>
    <w:rsid w:val="00864E7C"/>
    <w:rsid w:val="00864F0A"/>
    <w:rsid w:val="00865419"/>
    <w:rsid w:val="00866AFD"/>
    <w:rsid w:val="00866FE1"/>
    <w:rsid w:val="0086774E"/>
    <w:rsid w:val="00867A2D"/>
    <w:rsid w:val="00871F13"/>
    <w:rsid w:val="00872947"/>
    <w:rsid w:val="0087313C"/>
    <w:rsid w:val="0087522C"/>
    <w:rsid w:val="008759B0"/>
    <w:rsid w:val="00876044"/>
    <w:rsid w:val="0087618F"/>
    <w:rsid w:val="00880716"/>
    <w:rsid w:val="0088318D"/>
    <w:rsid w:val="00883698"/>
    <w:rsid w:val="0088387D"/>
    <w:rsid w:val="008845F9"/>
    <w:rsid w:val="00890A97"/>
    <w:rsid w:val="00893CAD"/>
    <w:rsid w:val="0089590B"/>
    <w:rsid w:val="00896DCD"/>
    <w:rsid w:val="00896F41"/>
    <w:rsid w:val="00896FFF"/>
    <w:rsid w:val="00897EB6"/>
    <w:rsid w:val="008A4C94"/>
    <w:rsid w:val="008A4CE1"/>
    <w:rsid w:val="008A4E47"/>
    <w:rsid w:val="008A4FDF"/>
    <w:rsid w:val="008A536E"/>
    <w:rsid w:val="008A564B"/>
    <w:rsid w:val="008A5D80"/>
    <w:rsid w:val="008A5F9A"/>
    <w:rsid w:val="008A787C"/>
    <w:rsid w:val="008B02DA"/>
    <w:rsid w:val="008B1CF1"/>
    <w:rsid w:val="008B2073"/>
    <w:rsid w:val="008B25F5"/>
    <w:rsid w:val="008B295A"/>
    <w:rsid w:val="008B359C"/>
    <w:rsid w:val="008B5204"/>
    <w:rsid w:val="008B542B"/>
    <w:rsid w:val="008B5446"/>
    <w:rsid w:val="008C1E4F"/>
    <w:rsid w:val="008C1E8A"/>
    <w:rsid w:val="008C2422"/>
    <w:rsid w:val="008C29A6"/>
    <w:rsid w:val="008C2C4D"/>
    <w:rsid w:val="008C3334"/>
    <w:rsid w:val="008C5123"/>
    <w:rsid w:val="008C657E"/>
    <w:rsid w:val="008C68D9"/>
    <w:rsid w:val="008D0A4C"/>
    <w:rsid w:val="008D29F6"/>
    <w:rsid w:val="008D48E9"/>
    <w:rsid w:val="008D7A52"/>
    <w:rsid w:val="008D7BB3"/>
    <w:rsid w:val="008E0ED0"/>
    <w:rsid w:val="008E474B"/>
    <w:rsid w:val="008E6B50"/>
    <w:rsid w:val="008F216F"/>
    <w:rsid w:val="008F21EE"/>
    <w:rsid w:val="008F3FFA"/>
    <w:rsid w:val="00901B8E"/>
    <w:rsid w:val="00902FE1"/>
    <w:rsid w:val="009108AA"/>
    <w:rsid w:val="00913E24"/>
    <w:rsid w:val="009157F7"/>
    <w:rsid w:val="00921173"/>
    <w:rsid w:val="00921499"/>
    <w:rsid w:val="00922399"/>
    <w:rsid w:val="00923CCC"/>
    <w:rsid w:val="00926541"/>
    <w:rsid w:val="009268D8"/>
    <w:rsid w:val="00926F24"/>
    <w:rsid w:val="00927BE8"/>
    <w:rsid w:val="00930A3E"/>
    <w:rsid w:val="00930C4C"/>
    <w:rsid w:val="00933B57"/>
    <w:rsid w:val="00943351"/>
    <w:rsid w:val="00945F18"/>
    <w:rsid w:val="009511CF"/>
    <w:rsid w:val="009511EE"/>
    <w:rsid w:val="00953836"/>
    <w:rsid w:val="00953F1F"/>
    <w:rsid w:val="0095412C"/>
    <w:rsid w:val="009579CE"/>
    <w:rsid w:val="00957B79"/>
    <w:rsid w:val="00957F42"/>
    <w:rsid w:val="009630CC"/>
    <w:rsid w:val="009665D7"/>
    <w:rsid w:val="009666A1"/>
    <w:rsid w:val="00973E82"/>
    <w:rsid w:val="00973F03"/>
    <w:rsid w:val="009753AB"/>
    <w:rsid w:val="00980364"/>
    <w:rsid w:val="009815F7"/>
    <w:rsid w:val="00982863"/>
    <w:rsid w:val="00986006"/>
    <w:rsid w:val="00986F8D"/>
    <w:rsid w:val="00992A53"/>
    <w:rsid w:val="00993C9E"/>
    <w:rsid w:val="009942CB"/>
    <w:rsid w:val="00997A11"/>
    <w:rsid w:val="009A56FA"/>
    <w:rsid w:val="009A75E0"/>
    <w:rsid w:val="009B0237"/>
    <w:rsid w:val="009B0580"/>
    <w:rsid w:val="009B14D2"/>
    <w:rsid w:val="009B17B8"/>
    <w:rsid w:val="009B3C57"/>
    <w:rsid w:val="009C1CD0"/>
    <w:rsid w:val="009C1CD5"/>
    <w:rsid w:val="009C314D"/>
    <w:rsid w:val="009C3D98"/>
    <w:rsid w:val="009C5705"/>
    <w:rsid w:val="009C5BE2"/>
    <w:rsid w:val="009C602C"/>
    <w:rsid w:val="009C651A"/>
    <w:rsid w:val="009C685E"/>
    <w:rsid w:val="009C7B7C"/>
    <w:rsid w:val="009D06B5"/>
    <w:rsid w:val="009D113C"/>
    <w:rsid w:val="009D52BC"/>
    <w:rsid w:val="009D5BB2"/>
    <w:rsid w:val="009D6075"/>
    <w:rsid w:val="009E1069"/>
    <w:rsid w:val="009E5268"/>
    <w:rsid w:val="009F2E09"/>
    <w:rsid w:val="009F3196"/>
    <w:rsid w:val="009F3A0D"/>
    <w:rsid w:val="009F652B"/>
    <w:rsid w:val="009F70FA"/>
    <w:rsid w:val="00A00016"/>
    <w:rsid w:val="00A00313"/>
    <w:rsid w:val="00A0056D"/>
    <w:rsid w:val="00A017C1"/>
    <w:rsid w:val="00A04F3C"/>
    <w:rsid w:val="00A06D20"/>
    <w:rsid w:val="00A07D71"/>
    <w:rsid w:val="00A10373"/>
    <w:rsid w:val="00A11793"/>
    <w:rsid w:val="00A12B62"/>
    <w:rsid w:val="00A139B8"/>
    <w:rsid w:val="00A13BAA"/>
    <w:rsid w:val="00A13C58"/>
    <w:rsid w:val="00A21494"/>
    <w:rsid w:val="00A221A3"/>
    <w:rsid w:val="00A22F0B"/>
    <w:rsid w:val="00A2549F"/>
    <w:rsid w:val="00A25AE7"/>
    <w:rsid w:val="00A25DB2"/>
    <w:rsid w:val="00A30E99"/>
    <w:rsid w:val="00A31EE5"/>
    <w:rsid w:val="00A32263"/>
    <w:rsid w:val="00A3327A"/>
    <w:rsid w:val="00A3369A"/>
    <w:rsid w:val="00A33962"/>
    <w:rsid w:val="00A4347E"/>
    <w:rsid w:val="00A43B31"/>
    <w:rsid w:val="00A45AB3"/>
    <w:rsid w:val="00A45EFC"/>
    <w:rsid w:val="00A47CAA"/>
    <w:rsid w:val="00A504B9"/>
    <w:rsid w:val="00A51B2D"/>
    <w:rsid w:val="00A521B1"/>
    <w:rsid w:val="00A54689"/>
    <w:rsid w:val="00A548D4"/>
    <w:rsid w:val="00A5774D"/>
    <w:rsid w:val="00A5777C"/>
    <w:rsid w:val="00A57E98"/>
    <w:rsid w:val="00A62814"/>
    <w:rsid w:val="00A63EBB"/>
    <w:rsid w:val="00A70341"/>
    <w:rsid w:val="00A74409"/>
    <w:rsid w:val="00A75164"/>
    <w:rsid w:val="00A774B9"/>
    <w:rsid w:val="00A77794"/>
    <w:rsid w:val="00A7799E"/>
    <w:rsid w:val="00A83EC7"/>
    <w:rsid w:val="00A84017"/>
    <w:rsid w:val="00A84842"/>
    <w:rsid w:val="00A84DFC"/>
    <w:rsid w:val="00A866F3"/>
    <w:rsid w:val="00A92BFC"/>
    <w:rsid w:val="00A947CD"/>
    <w:rsid w:val="00A96E6E"/>
    <w:rsid w:val="00A97DC5"/>
    <w:rsid w:val="00AA0094"/>
    <w:rsid w:val="00AA03DC"/>
    <w:rsid w:val="00AA0CFA"/>
    <w:rsid w:val="00AA1898"/>
    <w:rsid w:val="00AA2018"/>
    <w:rsid w:val="00AA426E"/>
    <w:rsid w:val="00AA6BE5"/>
    <w:rsid w:val="00AA7470"/>
    <w:rsid w:val="00AB11C3"/>
    <w:rsid w:val="00AB15F0"/>
    <w:rsid w:val="00AB329C"/>
    <w:rsid w:val="00AB3ECD"/>
    <w:rsid w:val="00AB40A9"/>
    <w:rsid w:val="00AB54F6"/>
    <w:rsid w:val="00AB6E4A"/>
    <w:rsid w:val="00AC1502"/>
    <w:rsid w:val="00AC1FCE"/>
    <w:rsid w:val="00AC33F2"/>
    <w:rsid w:val="00AC5F9D"/>
    <w:rsid w:val="00AC650B"/>
    <w:rsid w:val="00AD0ADE"/>
    <w:rsid w:val="00AD0BE5"/>
    <w:rsid w:val="00AD0DC6"/>
    <w:rsid w:val="00AD37A6"/>
    <w:rsid w:val="00AD3D1D"/>
    <w:rsid w:val="00AD59D7"/>
    <w:rsid w:val="00AD6DDD"/>
    <w:rsid w:val="00AE186E"/>
    <w:rsid w:val="00AE33F1"/>
    <w:rsid w:val="00AE3D03"/>
    <w:rsid w:val="00AE3F21"/>
    <w:rsid w:val="00AE4936"/>
    <w:rsid w:val="00AE50C0"/>
    <w:rsid w:val="00AE6582"/>
    <w:rsid w:val="00AF23E4"/>
    <w:rsid w:val="00B02293"/>
    <w:rsid w:val="00B02B93"/>
    <w:rsid w:val="00B04C83"/>
    <w:rsid w:val="00B0516A"/>
    <w:rsid w:val="00B05A2E"/>
    <w:rsid w:val="00B07A46"/>
    <w:rsid w:val="00B1033C"/>
    <w:rsid w:val="00B10BB8"/>
    <w:rsid w:val="00B11084"/>
    <w:rsid w:val="00B1154C"/>
    <w:rsid w:val="00B1275F"/>
    <w:rsid w:val="00B2059C"/>
    <w:rsid w:val="00B248BE"/>
    <w:rsid w:val="00B2597C"/>
    <w:rsid w:val="00B25FE2"/>
    <w:rsid w:val="00B341A0"/>
    <w:rsid w:val="00B36056"/>
    <w:rsid w:val="00B40A49"/>
    <w:rsid w:val="00B41B28"/>
    <w:rsid w:val="00B42DEE"/>
    <w:rsid w:val="00B4395F"/>
    <w:rsid w:val="00B47C6C"/>
    <w:rsid w:val="00B516AD"/>
    <w:rsid w:val="00B51F94"/>
    <w:rsid w:val="00B57117"/>
    <w:rsid w:val="00B6028A"/>
    <w:rsid w:val="00B605E2"/>
    <w:rsid w:val="00B60D06"/>
    <w:rsid w:val="00B62031"/>
    <w:rsid w:val="00B644DB"/>
    <w:rsid w:val="00B64F97"/>
    <w:rsid w:val="00B664A8"/>
    <w:rsid w:val="00B7224E"/>
    <w:rsid w:val="00B72F46"/>
    <w:rsid w:val="00B736FD"/>
    <w:rsid w:val="00B7417F"/>
    <w:rsid w:val="00B76203"/>
    <w:rsid w:val="00B76F96"/>
    <w:rsid w:val="00B8005C"/>
    <w:rsid w:val="00B80D43"/>
    <w:rsid w:val="00B8301B"/>
    <w:rsid w:val="00B84E27"/>
    <w:rsid w:val="00B85C7A"/>
    <w:rsid w:val="00B90D97"/>
    <w:rsid w:val="00B955DA"/>
    <w:rsid w:val="00BA1820"/>
    <w:rsid w:val="00BA2D02"/>
    <w:rsid w:val="00BA3235"/>
    <w:rsid w:val="00BA3CCB"/>
    <w:rsid w:val="00BA4D9C"/>
    <w:rsid w:val="00BA725A"/>
    <w:rsid w:val="00BB1975"/>
    <w:rsid w:val="00BB1BEC"/>
    <w:rsid w:val="00BB36AE"/>
    <w:rsid w:val="00BB409F"/>
    <w:rsid w:val="00BB6D2E"/>
    <w:rsid w:val="00BB72D2"/>
    <w:rsid w:val="00BB7A76"/>
    <w:rsid w:val="00BB7B23"/>
    <w:rsid w:val="00BC56F7"/>
    <w:rsid w:val="00BD35E5"/>
    <w:rsid w:val="00BD3F8A"/>
    <w:rsid w:val="00BD4C2D"/>
    <w:rsid w:val="00BD4E58"/>
    <w:rsid w:val="00BD648F"/>
    <w:rsid w:val="00BD7432"/>
    <w:rsid w:val="00BD75B6"/>
    <w:rsid w:val="00BD779C"/>
    <w:rsid w:val="00BE16FE"/>
    <w:rsid w:val="00BE1A18"/>
    <w:rsid w:val="00BE1D2F"/>
    <w:rsid w:val="00BE2A37"/>
    <w:rsid w:val="00BE4C0B"/>
    <w:rsid w:val="00BE4C1D"/>
    <w:rsid w:val="00BE6295"/>
    <w:rsid w:val="00BE6664"/>
    <w:rsid w:val="00BF00DD"/>
    <w:rsid w:val="00BF14F0"/>
    <w:rsid w:val="00BF2383"/>
    <w:rsid w:val="00BF3DAA"/>
    <w:rsid w:val="00BF509B"/>
    <w:rsid w:val="00BF54BE"/>
    <w:rsid w:val="00BF6C5C"/>
    <w:rsid w:val="00C00603"/>
    <w:rsid w:val="00C0133E"/>
    <w:rsid w:val="00C01BEF"/>
    <w:rsid w:val="00C02E7D"/>
    <w:rsid w:val="00C04542"/>
    <w:rsid w:val="00C04C82"/>
    <w:rsid w:val="00C05D30"/>
    <w:rsid w:val="00C05E57"/>
    <w:rsid w:val="00C07B5C"/>
    <w:rsid w:val="00C07EA5"/>
    <w:rsid w:val="00C07F35"/>
    <w:rsid w:val="00C1012C"/>
    <w:rsid w:val="00C12281"/>
    <w:rsid w:val="00C1459E"/>
    <w:rsid w:val="00C15FF6"/>
    <w:rsid w:val="00C21015"/>
    <w:rsid w:val="00C23A11"/>
    <w:rsid w:val="00C30C3B"/>
    <w:rsid w:val="00C32323"/>
    <w:rsid w:val="00C34A40"/>
    <w:rsid w:val="00C3598F"/>
    <w:rsid w:val="00C359BF"/>
    <w:rsid w:val="00C4333D"/>
    <w:rsid w:val="00C436B2"/>
    <w:rsid w:val="00C44A4F"/>
    <w:rsid w:val="00C45E10"/>
    <w:rsid w:val="00C46A4F"/>
    <w:rsid w:val="00C4741D"/>
    <w:rsid w:val="00C4758D"/>
    <w:rsid w:val="00C5045B"/>
    <w:rsid w:val="00C5113C"/>
    <w:rsid w:val="00C524E6"/>
    <w:rsid w:val="00C54A7E"/>
    <w:rsid w:val="00C552DE"/>
    <w:rsid w:val="00C56BB4"/>
    <w:rsid w:val="00C57547"/>
    <w:rsid w:val="00C605C4"/>
    <w:rsid w:val="00C609E7"/>
    <w:rsid w:val="00C62A11"/>
    <w:rsid w:val="00C64813"/>
    <w:rsid w:val="00C67749"/>
    <w:rsid w:val="00C70DC0"/>
    <w:rsid w:val="00C71DCB"/>
    <w:rsid w:val="00C72A5D"/>
    <w:rsid w:val="00C730D9"/>
    <w:rsid w:val="00C76917"/>
    <w:rsid w:val="00C835C1"/>
    <w:rsid w:val="00C85725"/>
    <w:rsid w:val="00C86868"/>
    <w:rsid w:val="00C918B1"/>
    <w:rsid w:val="00C92250"/>
    <w:rsid w:val="00C955DD"/>
    <w:rsid w:val="00C96430"/>
    <w:rsid w:val="00C9681F"/>
    <w:rsid w:val="00C97244"/>
    <w:rsid w:val="00CA3138"/>
    <w:rsid w:val="00CA3DED"/>
    <w:rsid w:val="00CA630C"/>
    <w:rsid w:val="00CA69C5"/>
    <w:rsid w:val="00CB0435"/>
    <w:rsid w:val="00CB3314"/>
    <w:rsid w:val="00CB6AB7"/>
    <w:rsid w:val="00CB7034"/>
    <w:rsid w:val="00CB7239"/>
    <w:rsid w:val="00CB7DA6"/>
    <w:rsid w:val="00CC0AD5"/>
    <w:rsid w:val="00CC2D2E"/>
    <w:rsid w:val="00CC3450"/>
    <w:rsid w:val="00CC3F22"/>
    <w:rsid w:val="00CC4CE2"/>
    <w:rsid w:val="00CC52EF"/>
    <w:rsid w:val="00CC5408"/>
    <w:rsid w:val="00CD100A"/>
    <w:rsid w:val="00CD531C"/>
    <w:rsid w:val="00CD57BE"/>
    <w:rsid w:val="00CD5E7A"/>
    <w:rsid w:val="00CE1FE9"/>
    <w:rsid w:val="00CE2BF7"/>
    <w:rsid w:val="00CE3583"/>
    <w:rsid w:val="00CE70B5"/>
    <w:rsid w:val="00CE7E87"/>
    <w:rsid w:val="00CF07B8"/>
    <w:rsid w:val="00CF07DE"/>
    <w:rsid w:val="00CF1178"/>
    <w:rsid w:val="00CF2DA3"/>
    <w:rsid w:val="00CF49F1"/>
    <w:rsid w:val="00CF5FB0"/>
    <w:rsid w:val="00CF6C6E"/>
    <w:rsid w:val="00CF7066"/>
    <w:rsid w:val="00CF7D08"/>
    <w:rsid w:val="00D00A33"/>
    <w:rsid w:val="00D0112F"/>
    <w:rsid w:val="00D01761"/>
    <w:rsid w:val="00D026B3"/>
    <w:rsid w:val="00D03835"/>
    <w:rsid w:val="00D0398B"/>
    <w:rsid w:val="00D03F99"/>
    <w:rsid w:val="00D06A58"/>
    <w:rsid w:val="00D06F73"/>
    <w:rsid w:val="00D0729D"/>
    <w:rsid w:val="00D07377"/>
    <w:rsid w:val="00D073E4"/>
    <w:rsid w:val="00D10C75"/>
    <w:rsid w:val="00D1101C"/>
    <w:rsid w:val="00D1259F"/>
    <w:rsid w:val="00D1390D"/>
    <w:rsid w:val="00D13E6E"/>
    <w:rsid w:val="00D15999"/>
    <w:rsid w:val="00D173FF"/>
    <w:rsid w:val="00D201D2"/>
    <w:rsid w:val="00D21219"/>
    <w:rsid w:val="00D24015"/>
    <w:rsid w:val="00D30DB3"/>
    <w:rsid w:val="00D3422C"/>
    <w:rsid w:val="00D348B9"/>
    <w:rsid w:val="00D34D72"/>
    <w:rsid w:val="00D3509B"/>
    <w:rsid w:val="00D35B1B"/>
    <w:rsid w:val="00D3604B"/>
    <w:rsid w:val="00D36E48"/>
    <w:rsid w:val="00D3771A"/>
    <w:rsid w:val="00D37F31"/>
    <w:rsid w:val="00D4021C"/>
    <w:rsid w:val="00D41853"/>
    <w:rsid w:val="00D42C97"/>
    <w:rsid w:val="00D42E36"/>
    <w:rsid w:val="00D44C58"/>
    <w:rsid w:val="00D4593D"/>
    <w:rsid w:val="00D5149E"/>
    <w:rsid w:val="00D52A7B"/>
    <w:rsid w:val="00D5382F"/>
    <w:rsid w:val="00D544E5"/>
    <w:rsid w:val="00D5462E"/>
    <w:rsid w:val="00D554C6"/>
    <w:rsid w:val="00D60F26"/>
    <w:rsid w:val="00D61D62"/>
    <w:rsid w:val="00D63F6B"/>
    <w:rsid w:val="00D66474"/>
    <w:rsid w:val="00D67D0E"/>
    <w:rsid w:val="00D70C78"/>
    <w:rsid w:val="00D712EF"/>
    <w:rsid w:val="00D729A1"/>
    <w:rsid w:val="00D72C99"/>
    <w:rsid w:val="00D738AC"/>
    <w:rsid w:val="00D73F79"/>
    <w:rsid w:val="00D7648B"/>
    <w:rsid w:val="00D77F87"/>
    <w:rsid w:val="00D80236"/>
    <w:rsid w:val="00D81344"/>
    <w:rsid w:val="00D81C30"/>
    <w:rsid w:val="00D84F99"/>
    <w:rsid w:val="00D855C4"/>
    <w:rsid w:val="00D90D71"/>
    <w:rsid w:val="00D91035"/>
    <w:rsid w:val="00D91A3A"/>
    <w:rsid w:val="00D91C78"/>
    <w:rsid w:val="00D94494"/>
    <w:rsid w:val="00D97768"/>
    <w:rsid w:val="00D97B22"/>
    <w:rsid w:val="00D97F07"/>
    <w:rsid w:val="00DA52AA"/>
    <w:rsid w:val="00DB031C"/>
    <w:rsid w:val="00DB116D"/>
    <w:rsid w:val="00DB2E16"/>
    <w:rsid w:val="00DB3A45"/>
    <w:rsid w:val="00DB4240"/>
    <w:rsid w:val="00DB593B"/>
    <w:rsid w:val="00DB5CD0"/>
    <w:rsid w:val="00DB618F"/>
    <w:rsid w:val="00DB6FC0"/>
    <w:rsid w:val="00DB755D"/>
    <w:rsid w:val="00DC1848"/>
    <w:rsid w:val="00DC19FF"/>
    <w:rsid w:val="00DD075B"/>
    <w:rsid w:val="00DD0CAD"/>
    <w:rsid w:val="00DD108F"/>
    <w:rsid w:val="00DD2651"/>
    <w:rsid w:val="00DD5383"/>
    <w:rsid w:val="00DD5FD3"/>
    <w:rsid w:val="00DE18CA"/>
    <w:rsid w:val="00DE1A53"/>
    <w:rsid w:val="00DE52CF"/>
    <w:rsid w:val="00DF2120"/>
    <w:rsid w:val="00DF3083"/>
    <w:rsid w:val="00E01E35"/>
    <w:rsid w:val="00E106C2"/>
    <w:rsid w:val="00E11859"/>
    <w:rsid w:val="00E148FD"/>
    <w:rsid w:val="00E200F8"/>
    <w:rsid w:val="00E207E8"/>
    <w:rsid w:val="00E21F2C"/>
    <w:rsid w:val="00E228BD"/>
    <w:rsid w:val="00E22A28"/>
    <w:rsid w:val="00E239D1"/>
    <w:rsid w:val="00E23C44"/>
    <w:rsid w:val="00E2472D"/>
    <w:rsid w:val="00E25777"/>
    <w:rsid w:val="00E2770E"/>
    <w:rsid w:val="00E30D59"/>
    <w:rsid w:val="00E32332"/>
    <w:rsid w:val="00E32536"/>
    <w:rsid w:val="00E32CB6"/>
    <w:rsid w:val="00E34577"/>
    <w:rsid w:val="00E37875"/>
    <w:rsid w:val="00E4577A"/>
    <w:rsid w:val="00E45C10"/>
    <w:rsid w:val="00E475FD"/>
    <w:rsid w:val="00E513CB"/>
    <w:rsid w:val="00E519CF"/>
    <w:rsid w:val="00E5399A"/>
    <w:rsid w:val="00E548C0"/>
    <w:rsid w:val="00E54C4B"/>
    <w:rsid w:val="00E60DD3"/>
    <w:rsid w:val="00E70337"/>
    <w:rsid w:val="00E70C56"/>
    <w:rsid w:val="00E7317B"/>
    <w:rsid w:val="00E74DB9"/>
    <w:rsid w:val="00E81067"/>
    <w:rsid w:val="00E82421"/>
    <w:rsid w:val="00E84D74"/>
    <w:rsid w:val="00E860A3"/>
    <w:rsid w:val="00E86E39"/>
    <w:rsid w:val="00E87C7C"/>
    <w:rsid w:val="00E93120"/>
    <w:rsid w:val="00E935A0"/>
    <w:rsid w:val="00E95AC6"/>
    <w:rsid w:val="00E9756D"/>
    <w:rsid w:val="00E9790C"/>
    <w:rsid w:val="00EA02D8"/>
    <w:rsid w:val="00EA05E0"/>
    <w:rsid w:val="00EA2487"/>
    <w:rsid w:val="00EA6C74"/>
    <w:rsid w:val="00EB1D95"/>
    <w:rsid w:val="00EB6333"/>
    <w:rsid w:val="00EB728F"/>
    <w:rsid w:val="00EB7F5C"/>
    <w:rsid w:val="00EC2D12"/>
    <w:rsid w:val="00EC4154"/>
    <w:rsid w:val="00EC4654"/>
    <w:rsid w:val="00EC6DFD"/>
    <w:rsid w:val="00ED0517"/>
    <w:rsid w:val="00ED1CE0"/>
    <w:rsid w:val="00ED28DF"/>
    <w:rsid w:val="00ED4033"/>
    <w:rsid w:val="00ED644F"/>
    <w:rsid w:val="00ED7177"/>
    <w:rsid w:val="00EE2F8C"/>
    <w:rsid w:val="00EE3B2C"/>
    <w:rsid w:val="00EE4AC2"/>
    <w:rsid w:val="00EE5B0C"/>
    <w:rsid w:val="00EE5EC9"/>
    <w:rsid w:val="00EF38AF"/>
    <w:rsid w:val="00EF42C7"/>
    <w:rsid w:val="00EF4532"/>
    <w:rsid w:val="00EF57F1"/>
    <w:rsid w:val="00EF586F"/>
    <w:rsid w:val="00EF6B72"/>
    <w:rsid w:val="00F02B71"/>
    <w:rsid w:val="00F06216"/>
    <w:rsid w:val="00F0724F"/>
    <w:rsid w:val="00F07D13"/>
    <w:rsid w:val="00F104A0"/>
    <w:rsid w:val="00F10A75"/>
    <w:rsid w:val="00F13D1F"/>
    <w:rsid w:val="00F1446C"/>
    <w:rsid w:val="00F159C5"/>
    <w:rsid w:val="00F1634A"/>
    <w:rsid w:val="00F22C59"/>
    <w:rsid w:val="00F2392B"/>
    <w:rsid w:val="00F244B1"/>
    <w:rsid w:val="00F24864"/>
    <w:rsid w:val="00F305D3"/>
    <w:rsid w:val="00F34716"/>
    <w:rsid w:val="00F370AF"/>
    <w:rsid w:val="00F37248"/>
    <w:rsid w:val="00F4021E"/>
    <w:rsid w:val="00F40AA9"/>
    <w:rsid w:val="00F42D80"/>
    <w:rsid w:val="00F43129"/>
    <w:rsid w:val="00F43605"/>
    <w:rsid w:val="00F436C8"/>
    <w:rsid w:val="00F451BB"/>
    <w:rsid w:val="00F51F7B"/>
    <w:rsid w:val="00F55C17"/>
    <w:rsid w:val="00F56257"/>
    <w:rsid w:val="00F578A6"/>
    <w:rsid w:val="00F62687"/>
    <w:rsid w:val="00F6290F"/>
    <w:rsid w:val="00F62922"/>
    <w:rsid w:val="00F65DE1"/>
    <w:rsid w:val="00F662F4"/>
    <w:rsid w:val="00F66D81"/>
    <w:rsid w:val="00F67F51"/>
    <w:rsid w:val="00F706BC"/>
    <w:rsid w:val="00F70E5E"/>
    <w:rsid w:val="00F71521"/>
    <w:rsid w:val="00F717B7"/>
    <w:rsid w:val="00F7295A"/>
    <w:rsid w:val="00F74C82"/>
    <w:rsid w:val="00F84AC6"/>
    <w:rsid w:val="00F9170E"/>
    <w:rsid w:val="00F92568"/>
    <w:rsid w:val="00F93AF8"/>
    <w:rsid w:val="00F947C6"/>
    <w:rsid w:val="00F94F13"/>
    <w:rsid w:val="00F95E1B"/>
    <w:rsid w:val="00F964EC"/>
    <w:rsid w:val="00F965D8"/>
    <w:rsid w:val="00F96B99"/>
    <w:rsid w:val="00F96DF4"/>
    <w:rsid w:val="00F97B61"/>
    <w:rsid w:val="00FA1B2B"/>
    <w:rsid w:val="00FA39E5"/>
    <w:rsid w:val="00FA41BC"/>
    <w:rsid w:val="00FA52D0"/>
    <w:rsid w:val="00FA54EB"/>
    <w:rsid w:val="00FA5FB2"/>
    <w:rsid w:val="00FA7F0E"/>
    <w:rsid w:val="00FB24FE"/>
    <w:rsid w:val="00FB256A"/>
    <w:rsid w:val="00FB298B"/>
    <w:rsid w:val="00FB7D7E"/>
    <w:rsid w:val="00FC0380"/>
    <w:rsid w:val="00FC158B"/>
    <w:rsid w:val="00FD0E05"/>
    <w:rsid w:val="00FD1E54"/>
    <w:rsid w:val="00FD4D13"/>
    <w:rsid w:val="00FD6020"/>
    <w:rsid w:val="00FD6706"/>
    <w:rsid w:val="00FD67FD"/>
    <w:rsid w:val="00FD7044"/>
    <w:rsid w:val="00FD7481"/>
    <w:rsid w:val="00FE486A"/>
    <w:rsid w:val="00FE6501"/>
    <w:rsid w:val="00FF0C43"/>
    <w:rsid w:val="00FF19A8"/>
    <w:rsid w:val="00FF36D5"/>
    <w:rsid w:val="00FF612A"/>
    <w:rsid w:val="00FF6C37"/>
    <w:rsid w:val="00FF719B"/>
    <w:rsid w:val="00FF774E"/>
    <w:rsid w:val="073E45A4"/>
    <w:rsid w:val="0A431BD5"/>
    <w:rsid w:val="0A877035"/>
    <w:rsid w:val="0C75BECD"/>
    <w:rsid w:val="113AD0DC"/>
    <w:rsid w:val="11994C2E"/>
    <w:rsid w:val="123FD825"/>
    <w:rsid w:val="133BD6D3"/>
    <w:rsid w:val="13538979"/>
    <w:rsid w:val="150860B0"/>
    <w:rsid w:val="17E8EBF4"/>
    <w:rsid w:val="182F0404"/>
    <w:rsid w:val="196D5C8B"/>
    <w:rsid w:val="19BC4147"/>
    <w:rsid w:val="1A4DB5FA"/>
    <w:rsid w:val="21D5E64A"/>
    <w:rsid w:val="23E27528"/>
    <w:rsid w:val="2421B19F"/>
    <w:rsid w:val="249EE202"/>
    <w:rsid w:val="25BD8200"/>
    <w:rsid w:val="26664038"/>
    <w:rsid w:val="275BB49F"/>
    <w:rsid w:val="2812F4B5"/>
    <w:rsid w:val="289DD2FD"/>
    <w:rsid w:val="28BB44EA"/>
    <w:rsid w:val="2D02FD64"/>
    <w:rsid w:val="2D3F66F1"/>
    <w:rsid w:val="2DAF6B88"/>
    <w:rsid w:val="2E898C47"/>
    <w:rsid w:val="2F2A3BE8"/>
    <w:rsid w:val="30BC2F3F"/>
    <w:rsid w:val="322FE2F7"/>
    <w:rsid w:val="3590D24C"/>
    <w:rsid w:val="38C74124"/>
    <w:rsid w:val="39FD6D63"/>
    <w:rsid w:val="3B6AD5F4"/>
    <w:rsid w:val="3C6C3F46"/>
    <w:rsid w:val="3DCD7CD8"/>
    <w:rsid w:val="3E210B91"/>
    <w:rsid w:val="3E4F666F"/>
    <w:rsid w:val="3FDF278E"/>
    <w:rsid w:val="400F61C3"/>
    <w:rsid w:val="42403502"/>
    <w:rsid w:val="42C5BF02"/>
    <w:rsid w:val="44AAAC26"/>
    <w:rsid w:val="4726E0F4"/>
    <w:rsid w:val="473F2F70"/>
    <w:rsid w:val="480BA2A6"/>
    <w:rsid w:val="492C5566"/>
    <w:rsid w:val="4CEFA046"/>
    <w:rsid w:val="4D4807B3"/>
    <w:rsid w:val="4DA5C5D4"/>
    <w:rsid w:val="4ED76395"/>
    <w:rsid w:val="50274108"/>
    <w:rsid w:val="51AF85CD"/>
    <w:rsid w:val="552D7CBC"/>
    <w:rsid w:val="5617D81D"/>
    <w:rsid w:val="5865F991"/>
    <w:rsid w:val="58ED8C94"/>
    <w:rsid w:val="58F047F5"/>
    <w:rsid w:val="59622DBE"/>
    <w:rsid w:val="5AB9F8BB"/>
    <w:rsid w:val="5DA0CCAA"/>
    <w:rsid w:val="5DF1997D"/>
    <w:rsid w:val="5E0EC881"/>
    <w:rsid w:val="5FC2EBA2"/>
    <w:rsid w:val="603533FA"/>
    <w:rsid w:val="60AFE2B4"/>
    <w:rsid w:val="6117FF68"/>
    <w:rsid w:val="647E0A05"/>
    <w:rsid w:val="68564C5B"/>
    <w:rsid w:val="68898920"/>
    <w:rsid w:val="69517B28"/>
    <w:rsid w:val="69DE9596"/>
    <w:rsid w:val="6A165FB8"/>
    <w:rsid w:val="6A393964"/>
    <w:rsid w:val="6E0FAACD"/>
    <w:rsid w:val="6E68B44A"/>
    <w:rsid w:val="717A1620"/>
    <w:rsid w:val="7435B77D"/>
    <w:rsid w:val="74579AEC"/>
    <w:rsid w:val="749C1B55"/>
    <w:rsid w:val="7515BEE8"/>
    <w:rsid w:val="76019455"/>
    <w:rsid w:val="76F2A7FD"/>
    <w:rsid w:val="773B5E8C"/>
    <w:rsid w:val="77B86050"/>
    <w:rsid w:val="77B96932"/>
    <w:rsid w:val="77D3BC17"/>
    <w:rsid w:val="77D7DF2A"/>
    <w:rsid w:val="7941229D"/>
    <w:rsid w:val="7A462067"/>
    <w:rsid w:val="7A75C64B"/>
    <w:rsid w:val="7CEAF539"/>
    <w:rsid w:val="7ED64362"/>
    <w:rsid w:val="7FDECDFC"/>
    <w:rsid w:val="7FF21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3E771"/>
  <w15:docId w15:val="{B72C56FD-7409-4F8A-83AA-89FB9EC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4EB"/>
    <w:pPr>
      <w:spacing w:before="120" w:after="120"/>
    </w:pPr>
    <w:rPr>
      <w:rFonts w:asciiTheme="minorHAnsi" w:hAnsiTheme="minorHAnsi" w:cs="Arial"/>
      <w:sz w:val="24"/>
      <w:szCs w:val="24"/>
    </w:rPr>
  </w:style>
  <w:style w:type="paragraph" w:styleId="Heading1">
    <w:name w:val="heading 1"/>
    <w:basedOn w:val="Normal"/>
    <w:next w:val="Normal"/>
    <w:qFormat/>
    <w:rsid w:val="001A0BB5"/>
    <w:pPr>
      <w:keepNext/>
      <w:numPr>
        <w:numId w:val="8"/>
      </w:numPr>
      <w:pBdr>
        <w:bottom w:val="thinThickLargeGap" w:sz="24" w:space="1" w:color="00A79D" w:themeColor="accent3"/>
      </w:pBdr>
      <w:tabs>
        <w:tab w:val="left" w:pos="1134"/>
      </w:tabs>
      <w:spacing w:before="480" w:line="300" w:lineRule="auto"/>
      <w:ind w:left="1134" w:hanging="1134"/>
      <w:outlineLvl w:val="0"/>
    </w:pPr>
    <w:rPr>
      <w:rFonts w:ascii="Arial" w:hAnsi="Arial"/>
      <w:b/>
      <w:bCs/>
      <w:color w:val="00A79D" w:themeColor="accent3"/>
      <w:sz w:val="40"/>
      <w:szCs w:val="40"/>
    </w:rPr>
  </w:style>
  <w:style w:type="paragraph" w:styleId="Heading2">
    <w:name w:val="heading 2"/>
    <w:basedOn w:val="Normal"/>
    <w:next w:val="Normal"/>
    <w:link w:val="Heading2Char"/>
    <w:qFormat/>
    <w:rsid w:val="001A0BB5"/>
    <w:pPr>
      <w:keepNext/>
      <w:numPr>
        <w:ilvl w:val="1"/>
        <w:numId w:val="8"/>
      </w:numPr>
      <w:tabs>
        <w:tab w:val="clear" w:pos="576"/>
        <w:tab w:val="left" w:pos="1134"/>
      </w:tabs>
      <w:spacing w:before="240"/>
      <w:ind w:left="1134" w:hanging="1134"/>
      <w:outlineLvl w:val="1"/>
    </w:pPr>
    <w:rPr>
      <w:rFonts w:ascii="Arial" w:hAnsi="Arial"/>
      <w:b/>
      <w:bCs/>
      <w:iCs/>
      <w:color w:val="00A79D" w:themeColor="accent3"/>
      <w:sz w:val="30"/>
      <w:szCs w:val="28"/>
    </w:rPr>
  </w:style>
  <w:style w:type="paragraph" w:styleId="Heading3">
    <w:name w:val="heading 3"/>
    <w:basedOn w:val="Normal"/>
    <w:next w:val="Normal"/>
    <w:qFormat/>
    <w:rsid w:val="001A0BB5"/>
    <w:pPr>
      <w:keepNext/>
      <w:numPr>
        <w:ilvl w:val="2"/>
        <w:numId w:val="8"/>
      </w:numPr>
      <w:tabs>
        <w:tab w:val="clear" w:pos="720"/>
        <w:tab w:val="left" w:pos="1134"/>
      </w:tabs>
      <w:spacing w:before="240"/>
      <w:ind w:left="1134" w:hanging="1134"/>
      <w:outlineLvl w:val="2"/>
    </w:pPr>
    <w:rPr>
      <w:rFonts w:ascii="Arial" w:hAnsi="Arial"/>
      <w:b/>
      <w:bCs/>
      <w:color w:val="00A79D" w:themeColor="accent3"/>
      <w:sz w:val="26"/>
      <w:szCs w:val="26"/>
    </w:rPr>
  </w:style>
  <w:style w:type="paragraph" w:styleId="Heading4">
    <w:name w:val="heading 4"/>
    <w:basedOn w:val="Normal"/>
    <w:next w:val="Normal"/>
    <w:autoRedefine/>
    <w:qFormat/>
    <w:rsid w:val="00EE4AC2"/>
    <w:pPr>
      <w:keepNext/>
      <w:numPr>
        <w:ilvl w:val="3"/>
        <w:numId w:val="8"/>
      </w:numPr>
      <w:tabs>
        <w:tab w:val="clear" w:pos="864"/>
        <w:tab w:val="left" w:pos="1134"/>
      </w:tabs>
      <w:spacing w:before="240"/>
      <w:ind w:left="1134" w:hanging="1134"/>
      <w:outlineLvl w:val="3"/>
    </w:pPr>
    <w:rPr>
      <w:rFonts w:ascii="Arial" w:hAnsi="Arial"/>
      <w:b/>
      <w:bCs/>
      <w:noProof/>
      <w:color w:val="00A79D" w:themeColor="accent3"/>
      <w:szCs w:val="28"/>
    </w:rPr>
  </w:style>
  <w:style w:type="paragraph" w:styleId="Heading5">
    <w:name w:val="heading 5"/>
    <w:basedOn w:val="Normal"/>
    <w:next w:val="Normal"/>
    <w:autoRedefine/>
    <w:qFormat/>
    <w:rsid w:val="0014385F"/>
    <w:pPr>
      <w:keepNext/>
      <w:outlineLvl w:val="4"/>
    </w:pPr>
    <w:rPr>
      <w:rFonts w:ascii="Arial" w:hAnsi="Arial"/>
      <w:b/>
      <w:color w:val="00A79D" w:themeColor="accent3"/>
      <w:sz w:val="22"/>
      <w:szCs w:val="22"/>
    </w:rPr>
  </w:style>
  <w:style w:type="paragraph" w:styleId="Heading6">
    <w:name w:val="heading 6"/>
    <w:basedOn w:val="Normal"/>
    <w:next w:val="Normal"/>
    <w:autoRedefine/>
    <w:rsid w:val="00A00313"/>
    <w:pPr>
      <w:numPr>
        <w:ilvl w:val="5"/>
        <w:numId w:val="8"/>
      </w:numPr>
      <w:spacing w:before="240" w:after="60"/>
      <w:outlineLvl w:val="5"/>
    </w:pPr>
    <w:rPr>
      <w:b/>
      <w:bCs/>
      <w:szCs w:val="22"/>
    </w:rPr>
  </w:style>
  <w:style w:type="paragraph" w:styleId="Heading7">
    <w:name w:val="heading 7"/>
    <w:basedOn w:val="Normal"/>
    <w:next w:val="Normal"/>
    <w:autoRedefine/>
    <w:rsid w:val="00A00313"/>
    <w:pPr>
      <w:numPr>
        <w:ilvl w:val="6"/>
        <w:numId w:val="8"/>
      </w:numPr>
      <w:spacing w:before="240" w:after="60"/>
      <w:outlineLvl w:val="6"/>
    </w:pPr>
  </w:style>
  <w:style w:type="paragraph" w:styleId="Heading8">
    <w:name w:val="heading 8"/>
    <w:basedOn w:val="Normal"/>
    <w:next w:val="Normal"/>
    <w:autoRedefine/>
    <w:rsid w:val="00A00313"/>
    <w:pPr>
      <w:numPr>
        <w:ilvl w:val="7"/>
        <w:numId w:val="8"/>
      </w:numPr>
      <w:spacing w:before="240" w:after="60"/>
      <w:outlineLvl w:val="7"/>
    </w:pPr>
    <w:rPr>
      <w:i/>
      <w:iCs/>
    </w:rPr>
  </w:style>
  <w:style w:type="paragraph" w:styleId="Heading9">
    <w:name w:val="heading 9"/>
    <w:basedOn w:val="Normal"/>
    <w:next w:val="Normal"/>
    <w:autoRedefine/>
    <w:rsid w:val="00A00313"/>
    <w:pPr>
      <w:numPr>
        <w:ilvl w:val="8"/>
        <w:numId w:val="8"/>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2E5634"/>
    <w:pPr>
      <w:tabs>
        <w:tab w:val="center" w:pos="4153"/>
        <w:tab w:val="left" w:pos="6901"/>
        <w:tab w:val="right" w:pos="9026"/>
      </w:tabs>
      <w:jc w:val="right"/>
    </w:pPr>
    <w:rPr>
      <w:color w:val="808000"/>
      <w:sz w:val="8"/>
    </w:rPr>
  </w:style>
  <w:style w:type="paragraph" w:styleId="Footer">
    <w:name w:val="footer"/>
    <w:basedOn w:val="Normal"/>
    <w:link w:val="FooterChar"/>
    <w:autoRedefine/>
    <w:uiPriority w:val="99"/>
    <w:rsid w:val="008C29A6"/>
    <w:pPr>
      <w:tabs>
        <w:tab w:val="center" w:pos="4153"/>
        <w:tab w:val="right" w:pos="8306"/>
      </w:tabs>
    </w:pPr>
    <w:rPr>
      <w:rFonts w:ascii="Arial" w:hAnsi="Arial"/>
      <w:sz w:val="20"/>
      <w:szCs w:val="20"/>
    </w:rPr>
  </w:style>
  <w:style w:type="character" w:styleId="PageNumber">
    <w:name w:val="page number"/>
    <w:rsid w:val="00D37F31"/>
    <w:rPr>
      <w:rFonts w:ascii="Franklin Gothic Book" w:hAnsi="Franklin Gothic Book"/>
      <w:color w:val="808000"/>
    </w:rPr>
  </w:style>
  <w:style w:type="character" w:styleId="FollowedHyperlink">
    <w:name w:val="FollowedHyperlink"/>
    <w:rsid w:val="00D37F31"/>
    <w:rPr>
      <w:rFonts w:ascii="Franklin Gothic Book" w:hAnsi="Franklin Gothic Book"/>
      <w:color w:val="800080"/>
      <w:u w:val="single"/>
    </w:rPr>
  </w:style>
  <w:style w:type="paragraph" w:customStyle="1" w:styleId="ExecSummHead1">
    <w:name w:val="Exec Summ Head 1"/>
    <w:basedOn w:val="Heading1"/>
    <w:next w:val="Normal"/>
    <w:qFormat/>
    <w:rsid w:val="00276F3D"/>
    <w:pPr>
      <w:numPr>
        <w:numId w:val="2"/>
      </w:numPr>
      <w:tabs>
        <w:tab w:val="clear" w:pos="432"/>
      </w:tabs>
      <w:ind w:left="1134" w:hanging="1134"/>
    </w:pPr>
    <w:rPr>
      <w:sz w:val="36"/>
      <w:szCs w:val="36"/>
    </w:rPr>
  </w:style>
  <w:style w:type="paragraph" w:styleId="Caption">
    <w:name w:val="caption"/>
    <w:basedOn w:val="Normal"/>
    <w:next w:val="Normal"/>
    <w:qFormat/>
    <w:rsid w:val="00E4577A"/>
    <w:pPr>
      <w:keepNext/>
    </w:pPr>
    <w:rPr>
      <w:rFonts w:ascii="Arial" w:hAnsi="Arial"/>
      <w:b/>
      <w:bCs/>
      <w:color w:val="00A79D" w:themeColor="accent3"/>
      <w:szCs w:val="20"/>
    </w:rPr>
  </w:style>
  <w:style w:type="paragraph" w:styleId="FootnoteText">
    <w:name w:val="footnote text"/>
    <w:basedOn w:val="Normal"/>
    <w:link w:val="FootnoteTextChar"/>
    <w:autoRedefine/>
    <w:semiHidden/>
    <w:qFormat/>
    <w:rsid w:val="006E3605"/>
    <w:pPr>
      <w:contextualSpacing/>
    </w:pPr>
    <w:rPr>
      <w:sz w:val="20"/>
      <w:szCs w:val="20"/>
    </w:rPr>
  </w:style>
  <w:style w:type="character" w:styleId="FootnoteReference">
    <w:name w:val="footnote reference"/>
    <w:semiHidden/>
    <w:qFormat/>
    <w:rPr>
      <w:vertAlign w:val="superscript"/>
    </w:rPr>
  </w:style>
  <w:style w:type="paragraph" w:styleId="EndnoteText">
    <w:name w:val="endnote text"/>
    <w:basedOn w:val="Normal"/>
    <w:semiHidden/>
    <w:pPr>
      <w:keepNext/>
    </w:pPr>
    <w:rPr>
      <w:color w:val="808000"/>
      <w:szCs w:val="20"/>
    </w:rPr>
  </w:style>
  <w:style w:type="character" w:styleId="EndnoteReference">
    <w:name w:val="endnote reference"/>
    <w:semiHidden/>
    <w:rPr>
      <w:vertAlign w:val="superscript"/>
    </w:rPr>
  </w:style>
  <w:style w:type="paragraph" w:customStyle="1" w:styleId="SectionHeading">
    <w:name w:val="Section Heading"/>
    <w:basedOn w:val="Normal"/>
    <w:next w:val="Normal"/>
    <w:autoRedefine/>
    <w:rsid w:val="000D24A7"/>
    <w:pPr>
      <w:spacing w:before="5400"/>
    </w:pPr>
    <w:rPr>
      <w:color w:val="808000"/>
      <w:sz w:val="40"/>
    </w:rPr>
  </w:style>
  <w:style w:type="paragraph" w:styleId="TOC1">
    <w:name w:val="toc 1"/>
    <w:basedOn w:val="Normal"/>
    <w:next w:val="Normal"/>
    <w:autoRedefine/>
    <w:uiPriority w:val="39"/>
    <w:qFormat/>
    <w:rsid w:val="009F2E09"/>
    <w:rPr>
      <w:b/>
      <w:bCs/>
      <w:szCs w:val="20"/>
      <w:lang w:eastAsia="ja-JP"/>
    </w:rPr>
  </w:style>
  <w:style w:type="paragraph" w:styleId="TOC2">
    <w:name w:val="toc 2"/>
    <w:basedOn w:val="Normal"/>
    <w:next w:val="Normal"/>
    <w:uiPriority w:val="39"/>
    <w:qFormat/>
    <w:rsid w:val="00642C10"/>
    <w:pPr>
      <w:spacing w:after="0"/>
      <w:ind w:left="200"/>
    </w:pPr>
    <w:rPr>
      <w:szCs w:val="20"/>
    </w:rPr>
  </w:style>
  <w:style w:type="paragraph" w:styleId="TOC3">
    <w:name w:val="toc 3"/>
    <w:basedOn w:val="Normal"/>
    <w:next w:val="Normal"/>
    <w:uiPriority w:val="39"/>
    <w:qFormat/>
    <w:rsid w:val="00642C10"/>
    <w:pPr>
      <w:spacing w:after="0"/>
      <w:ind w:left="400"/>
    </w:pPr>
    <w:rPr>
      <w:i/>
      <w:iCs/>
      <w:szCs w:val="20"/>
    </w:rPr>
  </w:style>
  <w:style w:type="paragraph" w:styleId="TOC4">
    <w:name w:val="toc 4"/>
    <w:basedOn w:val="EXECSUMM"/>
    <w:next w:val="Normal"/>
    <w:autoRedefine/>
    <w:uiPriority w:val="39"/>
    <w:rsid w:val="009F2E09"/>
  </w:style>
  <w:style w:type="paragraph" w:styleId="TOC5">
    <w:name w:val="toc 5"/>
    <w:basedOn w:val="Normal"/>
    <w:next w:val="Normal"/>
    <w:autoRedefine/>
    <w:semiHidden/>
    <w:pPr>
      <w:spacing w:after="0"/>
      <w:ind w:left="800"/>
    </w:pPr>
    <w:rPr>
      <w:rFonts w:ascii="Times New Roman" w:hAnsi="Times New Roman"/>
      <w:sz w:val="18"/>
      <w:szCs w:val="18"/>
    </w:rPr>
  </w:style>
  <w:style w:type="paragraph" w:styleId="TOC6">
    <w:name w:val="toc 6"/>
    <w:basedOn w:val="Normal"/>
    <w:next w:val="Normal"/>
    <w:autoRedefine/>
    <w:semiHidden/>
    <w:pPr>
      <w:spacing w:after="0"/>
      <w:ind w:left="1000"/>
    </w:pPr>
    <w:rPr>
      <w:rFonts w:ascii="Times New Roman" w:hAnsi="Times New Roman"/>
      <w:sz w:val="18"/>
      <w:szCs w:val="18"/>
    </w:rPr>
  </w:style>
  <w:style w:type="paragraph" w:styleId="TOC7">
    <w:name w:val="toc 7"/>
    <w:basedOn w:val="Normal"/>
    <w:next w:val="Normal"/>
    <w:autoRedefine/>
    <w:semiHidden/>
    <w:pPr>
      <w:spacing w:after="0"/>
      <w:ind w:left="1200"/>
    </w:pPr>
    <w:rPr>
      <w:rFonts w:ascii="Times New Roman" w:hAnsi="Times New Roman"/>
      <w:sz w:val="18"/>
      <w:szCs w:val="18"/>
    </w:rPr>
  </w:style>
  <w:style w:type="paragraph" w:styleId="TOC8">
    <w:name w:val="toc 8"/>
    <w:basedOn w:val="Normal"/>
    <w:next w:val="Normal"/>
    <w:autoRedefine/>
    <w:semiHidden/>
    <w:pPr>
      <w:spacing w:after="0"/>
      <w:ind w:left="1400"/>
    </w:pPr>
    <w:rPr>
      <w:rFonts w:ascii="Times New Roman" w:hAnsi="Times New Roman"/>
      <w:sz w:val="18"/>
      <w:szCs w:val="18"/>
    </w:rPr>
  </w:style>
  <w:style w:type="paragraph" w:styleId="TOC9">
    <w:name w:val="toc 9"/>
    <w:basedOn w:val="Normal"/>
    <w:next w:val="Normal"/>
    <w:autoRedefine/>
    <w:semiHidden/>
    <w:pPr>
      <w:spacing w:after="0"/>
      <w:ind w:left="1600"/>
    </w:pPr>
    <w:rPr>
      <w:rFonts w:ascii="Times New Roman" w:hAnsi="Times New Roman"/>
      <w:sz w:val="18"/>
      <w:szCs w:val="18"/>
    </w:rPr>
  </w:style>
  <w:style w:type="character" w:styleId="Hyperlink">
    <w:name w:val="Hyperlink"/>
    <w:uiPriority w:val="99"/>
    <w:rsid w:val="008E0ED0"/>
    <w:rPr>
      <w:rFonts w:ascii="Calibri" w:hAnsi="Calibri"/>
      <w:color w:val="0000FF"/>
      <w:u w:val="single"/>
    </w:rPr>
  </w:style>
  <w:style w:type="paragraph" w:customStyle="1" w:styleId="IntroHeading">
    <w:name w:val="Intro Heading"/>
    <w:basedOn w:val="Heading1"/>
    <w:next w:val="Normal"/>
    <w:autoRedefine/>
    <w:rsid w:val="00573ADD"/>
    <w:pPr>
      <w:numPr>
        <w:numId w:val="0"/>
      </w:numPr>
      <w:spacing w:before="120"/>
    </w:pPr>
  </w:style>
  <w:style w:type="paragraph" w:styleId="TableofFigures">
    <w:name w:val="table of figures"/>
    <w:basedOn w:val="Normal"/>
    <w:next w:val="Normal"/>
    <w:uiPriority w:val="99"/>
    <w:pPr>
      <w:ind w:left="400" w:hanging="400"/>
    </w:pPr>
  </w:style>
  <w:style w:type="table" w:customStyle="1" w:styleId="EunomiaTable-Text">
    <w:name w:val="Eunomia Table - Text"/>
    <w:basedOn w:val="TableNormal"/>
    <w:uiPriority w:val="99"/>
    <w:rsid w:val="00E239D1"/>
    <w:rPr>
      <w:rFonts w:asciiTheme="minorHAnsi" w:hAnsiTheme="minorHAnsi"/>
      <w:sz w:val="24"/>
    </w:rPr>
    <w:tblPr>
      <w:tblStyleRowBandSize w:val="1"/>
      <w:tblBorders>
        <w:insideV w:val="single" w:sz="4" w:space="0" w:color="00A79D" w:themeColor="accent3"/>
      </w:tblBorders>
    </w:tblPr>
    <w:tblStylePr w:type="firstRow">
      <w:pPr>
        <w:jc w:val="center"/>
      </w:pPr>
      <w:rPr>
        <w:b/>
      </w:rPr>
      <w:tblPr/>
      <w:tcPr>
        <w:tcBorders>
          <w:top w:val="single" w:sz="4" w:space="0" w:color="A6A6A6" w:themeColor="background1" w:themeShade="A6"/>
        </w:tcBorders>
        <w:shd w:val="clear" w:color="auto" w:fill="BFBFBF" w:themeFill="background1" w:themeFillShade="BF"/>
      </w:tcPr>
    </w:tblStylePr>
    <w:tblStylePr w:type="lastRow">
      <w:tblPr/>
      <w:tcPr>
        <w:tcBorders>
          <w:top w:val="dotted" w:sz="4" w:space="0" w:color="A6A6A6" w:themeColor="background1" w:themeShade="A6"/>
          <w:bottom w:val="single" w:sz="4" w:space="0" w:color="A6A6A6" w:themeColor="background1" w:themeShade="A6"/>
        </w:tcBorders>
      </w:tcPr>
    </w:tblStylePr>
    <w:tblStylePr w:type="firstCol">
      <w:pPr>
        <w:jc w:val="left"/>
      </w:pPr>
      <w:rPr>
        <w:b/>
      </w:rPr>
      <w:tblPr/>
      <w:tcPr>
        <w:tcBorders>
          <w:left w:val="single" w:sz="4" w:space="0" w:color="A6A6A6" w:themeColor="background1" w:themeShade="A6"/>
        </w:tcBorders>
        <w:shd w:val="clear" w:color="auto" w:fill="F2F2F2" w:themeFill="background1" w:themeFillShade="F2"/>
        <w:vAlign w:val="center"/>
      </w:tcPr>
    </w:tblStylePr>
    <w:tblStylePr w:type="lastCol">
      <w:tblPr/>
      <w:tcPr>
        <w:tcBorders>
          <w:right w:val="single" w:sz="4" w:space="0" w:color="A6A6A6" w:themeColor="background1" w:themeShade="A6"/>
        </w:tcBorders>
      </w:tcPr>
    </w:tblStylePr>
    <w:tblStylePr w:type="band1Horz">
      <w:tblPr/>
      <w:tcPr>
        <w:tcBorders>
          <w:top w:val="dotted" w:sz="4" w:space="0" w:color="A6A6A6" w:themeColor="background1" w:themeShade="A6"/>
          <w:bottom w:val="dotted" w:sz="4" w:space="0" w:color="A6A6A6" w:themeColor="background1" w:themeShade="A6"/>
        </w:tcBorders>
      </w:tcPr>
    </w:tblStylePr>
    <w:tblStylePr w:type="nwCell">
      <w:pPr>
        <w:jc w:val="left"/>
      </w:pPr>
      <w:tblPr/>
      <w:tcPr>
        <w:vAlign w:val="top"/>
      </w:tcPr>
    </w:tblStylePr>
  </w:style>
  <w:style w:type="paragraph" w:customStyle="1" w:styleId="DocumentTitle">
    <w:name w:val="Document Title"/>
    <w:basedOn w:val="Normal"/>
    <w:link w:val="DocumentTitleChar"/>
    <w:autoRedefine/>
    <w:rsid w:val="00B36056"/>
    <w:rPr>
      <w:rFonts w:ascii="Arial" w:hAnsi="Arial"/>
      <w:b/>
      <w:color w:val="FFFFFF" w:themeColor="background1"/>
      <w:sz w:val="56"/>
      <w:szCs w:val="56"/>
    </w:rPr>
  </w:style>
  <w:style w:type="paragraph" w:customStyle="1" w:styleId="Documentrecipient">
    <w:name w:val="Document recipient"/>
    <w:basedOn w:val="IntroHeading"/>
    <w:autoRedefine/>
    <w:rsid w:val="00D37F31"/>
  </w:style>
  <w:style w:type="paragraph" w:customStyle="1" w:styleId="preparedby">
    <w:name w:val="prepared by"/>
    <w:basedOn w:val="IntroHeading"/>
    <w:autoRedefine/>
    <w:rsid w:val="00126C17"/>
    <w:rPr>
      <w:sz w:val="32"/>
    </w:rPr>
  </w:style>
  <w:style w:type="paragraph" w:customStyle="1" w:styleId="ExecSummHead2">
    <w:name w:val="Exec Summ Head 2"/>
    <w:basedOn w:val="Heading2"/>
    <w:next w:val="Normal"/>
    <w:link w:val="ExecSummHead2Char"/>
    <w:qFormat/>
    <w:rsid w:val="00E4577A"/>
    <w:pPr>
      <w:numPr>
        <w:numId w:val="3"/>
      </w:numPr>
      <w:tabs>
        <w:tab w:val="clear" w:pos="576"/>
      </w:tabs>
      <w:ind w:left="1134" w:hanging="1134"/>
    </w:pPr>
  </w:style>
  <w:style w:type="paragraph" w:customStyle="1" w:styleId="Reference">
    <w:name w:val="Reference"/>
    <w:basedOn w:val="Normal"/>
    <w:autoRedefine/>
    <w:rsid w:val="00071189"/>
  </w:style>
  <w:style w:type="paragraph" w:customStyle="1" w:styleId="AppendixHeading1">
    <w:name w:val="Appendix Heading1"/>
    <w:basedOn w:val="Heading1"/>
    <w:next w:val="Normal"/>
    <w:qFormat/>
    <w:rsid w:val="006F4140"/>
    <w:pPr>
      <w:numPr>
        <w:numId w:val="5"/>
      </w:numPr>
      <w:ind w:left="1134" w:hanging="1134"/>
    </w:pPr>
  </w:style>
  <w:style w:type="numbering" w:customStyle="1" w:styleId="StyleBulleted">
    <w:name w:val="Style Bulleted"/>
    <w:basedOn w:val="NoList"/>
    <w:rsid w:val="00E32536"/>
    <w:pPr>
      <w:numPr>
        <w:numId w:val="4"/>
      </w:numPr>
    </w:pPr>
  </w:style>
  <w:style w:type="paragraph" w:customStyle="1" w:styleId="AppendixHeading3">
    <w:name w:val="Appendix Heading3"/>
    <w:basedOn w:val="AppendixHeading1"/>
    <w:next w:val="Normal"/>
    <w:qFormat/>
    <w:rsid w:val="00ED644F"/>
    <w:pPr>
      <w:numPr>
        <w:ilvl w:val="2"/>
      </w:numPr>
      <w:pBdr>
        <w:bottom w:val="none" w:sz="0" w:space="0" w:color="auto"/>
      </w:pBdr>
      <w:ind w:left="1134" w:hanging="1134"/>
    </w:pPr>
    <w:rPr>
      <w:sz w:val="24"/>
    </w:rPr>
  </w:style>
  <w:style w:type="paragraph" w:customStyle="1" w:styleId="AppendixHeading2">
    <w:name w:val="Appendix Heading2"/>
    <w:basedOn w:val="AppendixHeading1"/>
    <w:next w:val="Normal"/>
    <w:qFormat/>
    <w:rsid w:val="00ED644F"/>
    <w:pPr>
      <w:numPr>
        <w:ilvl w:val="1"/>
      </w:numPr>
      <w:pBdr>
        <w:bottom w:val="none" w:sz="0" w:space="0" w:color="auto"/>
      </w:pBdr>
      <w:ind w:left="1134" w:hanging="1134"/>
    </w:pPr>
    <w:rPr>
      <w:sz w:val="30"/>
    </w:rPr>
  </w:style>
  <w:style w:type="numbering" w:customStyle="1" w:styleId="StyleNumbered">
    <w:name w:val="Style Numbered"/>
    <w:basedOn w:val="StyleBulleted"/>
    <w:rsid w:val="004500F7"/>
    <w:pPr>
      <w:numPr>
        <w:numId w:val="6"/>
      </w:numPr>
    </w:pPr>
  </w:style>
  <w:style w:type="paragraph" w:customStyle="1" w:styleId="NumberedParagraphs">
    <w:name w:val="Numbered Paragraphs"/>
    <w:basedOn w:val="Normal"/>
    <w:next w:val="Normal"/>
    <w:rsid w:val="00B36056"/>
    <w:pPr>
      <w:numPr>
        <w:numId w:val="7"/>
      </w:numPr>
      <w:tabs>
        <w:tab w:val="left" w:pos="397"/>
      </w:tabs>
    </w:pPr>
  </w:style>
  <w:style w:type="paragraph" w:customStyle="1" w:styleId="reference0">
    <w:name w:val="reference"/>
    <w:basedOn w:val="Normal"/>
    <w:rsid w:val="00DD2651"/>
    <w:rPr>
      <w:sz w:val="20"/>
      <w:szCs w:val="20"/>
      <w:lang w:eastAsia="en-US" w:bidi="th-TH"/>
    </w:rPr>
  </w:style>
  <w:style w:type="paragraph" w:customStyle="1" w:styleId="EXECSUMM">
    <w:name w:val="EXEC SUMM"/>
    <w:basedOn w:val="StyleArial20ptBoldAccent3TopSinglesolidlineAccent"/>
    <w:next w:val="Normal"/>
    <w:link w:val="EXECSUMMChar"/>
    <w:qFormat/>
    <w:rsid w:val="00276F3D"/>
    <w:pPr>
      <w:spacing w:before="480"/>
    </w:pPr>
  </w:style>
  <w:style w:type="paragraph" w:customStyle="1" w:styleId="CaptionNotes">
    <w:name w:val="Caption Notes"/>
    <w:basedOn w:val="Normal"/>
    <w:next w:val="Normal"/>
    <w:link w:val="CaptionNotesCharChar"/>
    <w:qFormat/>
    <w:rsid w:val="000A363C"/>
    <w:pPr>
      <w:spacing w:before="60" w:after="240"/>
    </w:pPr>
    <w:rPr>
      <w:i/>
      <w:iCs/>
      <w:sz w:val="20"/>
      <w:szCs w:val="20"/>
    </w:rPr>
  </w:style>
  <w:style w:type="character" w:customStyle="1" w:styleId="CaptionNotesCharChar">
    <w:name w:val="Caption Notes Char Char"/>
    <w:link w:val="CaptionNotes"/>
    <w:rsid w:val="000A363C"/>
    <w:rPr>
      <w:rFonts w:asciiTheme="minorHAnsi" w:hAnsiTheme="minorHAnsi" w:cs="Arial"/>
      <w:i/>
      <w:iCs/>
    </w:rPr>
  </w:style>
  <w:style w:type="table" w:styleId="TableWeb1">
    <w:name w:val="Table Web 1"/>
    <w:basedOn w:val="TableNormal"/>
    <w:rsid w:val="005E797A"/>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F67F51"/>
    <w:pPr>
      <w:spacing w:before="0" w:after="0"/>
    </w:pPr>
    <w:rPr>
      <w:rFonts w:ascii="Tahoma" w:hAnsi="Tahoma" w:cs="Tahoma"/>
      <w:sz w:val="16"/>
      <w:szCs w:val="16"/>
    </w:rPr>
  </w:style>
  <w:style w:type="character" w:customStyle="1" w:styleId="BalloonTextChar">
    <w:name w:val="Balloon Text Char"/>
    <w:basedOn w:val="DefaultParagraphFont"/>
    <w:link w:val="BalloonText"/>
    <w:rsid w:val="00F67F51"/>
    <w:rPr>
      <w:rFonts w:ascii="Tahoma" w:hAnsi="Tahoma" w:cs="Tahoma"/>
      <w:sz w:val="16"/>
      <w:szCs w:val="16"/>
    </w:rPr>
  </w:style>
  <w:style w:type="table" w:styleId="TableGrid">
    <w:name w:val="Table Grid"/>
    <w:basedOn w:val="TableNormal"/>
    <w:rsid w:val="005E7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C29A6"/>
    <w:rPr>
      <w:rFonts w:ascii="Arial" w:hAnsi="Arial" w:cs="Arial"/>
    </w:rPr>
  </w:style>
  <w:style w:type="paragraph" w:styleId="TOCHeading">
    <w:name w:val="TOC Heading"/>
    <w:basedOn w:val="Heading1"/>
    <w:next w:val="Normal"/>
    <w:uiPriority w:val="39"/>
    <w:unhideWhenUsed/>
    <w:qFormat/>
    <w:rsid w:val="009F2E09"/>
    <w:pPr>
      <w:keepLines/>
      <w:numPr>
        <w:numId w:val="0"/>
      </w:numPr>
      <w:tabs>
        <w:tab w:val="clear" w:pos="1134"/>
      </w:tabs>
      <w:spacing w:after="0" w:line="276" w:lineRule="auto"/>
      <w:outlineLvl w:val="9"/>
    </w:pPr>
    <w:rPr>
      <w:rFonts w:eastAsiaTheme="majorEastAsia" w:cstheme="majorBidi"/>
      <w:b w:val="0"/>
      <w:sz w:val="28"/>
      <w:szCs w:val="28"/>
      <w:lang w:eastAsia="ja-JP"/>
    </w:rPr>
  </w:style>
  <w:style w:type="paragraph" w:styleId="ListParagraph">
    <w:name w:val="List Paragraph"/>
    <w:aliases w:val="Style Bullet"/>
    <w:basedOn w:val="Normal"/>
    <w:link w:val="ListParagraphChar"/>
    <w:uiPriority w:val="34"/>
    <w:rsid w:val="00A57E98"/>
    <w:pPr>
      <w:ind w:left="720"/>
      <w:contextualSpacing/>
    </w:pPr>
  </w:style>
  <w:style w:type="paragraph" w:styleId="NoSpacing">
    <w:name w:val="No Spacing"/>
    <w:uiPriority w:val="1"/>
    <w:rsid w:val="00840BE8"/>
    <w:rPr>
      <w:rFonts w:ascii="Franklin Gothic Book" w:hAnsi="Franklin Gothic Book"/>
      <w:sz w:val="24"/>
      <w:szCs w:val="24"/>
    </w:rPr>
  </w:style>
  <w:style w:type="paragraph" w:customStyle="1" w:styleId="StyleArial20ptBoldAccent3TopSinglesolidlineAccent">
    <w:name w:val="Style Arial 20 pt Bold Accent 3 Top: (Single solid line Accent..."/>
    <w:basedOn w:val="Normal"/>
    <w:link w:val="StyleArial20ptBoldAccent3TopSinglesolidlineAccentChar"/>
    <w:autoRedefine/>
    <w:qFormat/>
    <w:rsid w:val="00E4577A"/>
    <w:pPr>
      <w:pBdr>
        <w:bottom w:val="thinThickLargeGap" w:sz="24" w:space="1" w:color="00A79D" w:themeColor="accent3"/>
      </w:pBdr>
      <w:spacing w:line="300" w:lineRule="auto"/>
    </w:pPr>
    <w:rPr>
      <w:rFonts w:ascii="Arial" w:hAnsi="Arial"/>
      <w:b/>
      <w:bCs/>
      <w:color w:val="00A79D" w:themeColor="accent3"/>
      <w:sz w:val="40"/>
      <w:szCs w:val="20"/>
    </w:rPr>
  </w:style>
  <w:style w:type="paragraph" w:customStyle="1" w:styleId="BoldNormalText">
    <w:name w:val="Bold Normal Text"/>
    <w:basedOn w:val="Normal"/>
    <w:link w:val="BoldNormalTextChar"/>
    <w:qFormat/>
    <w:rsid w:val="0014385F"/>
    <w:rPr>
      <w:b/>
    </w:rPr>
  </w:style>
  <w:style w:type="paragraph" w:customStyle="1" w:styleId="Italicnormaltext">
    <w:name w:val="Italic normal text"/>
    <w:basedOn w:val="Normal"/>
    <w:link w:val="ItalicnormaltextChar"/>
    <w:qFormat/>
    <w:rsid w:val="0014385F"/>
    <w:rPr>
      <w:i/>
    </w:rPr>
  </w:style>
  <w:style w:type="character" w:customStyle="1" w:styleId="BoldNormalTextChar">
    <w:name w:val="Bold Normal Text Char"/>
    <w:basedOn w:val="DefaultParagraphFont"/>
    <w:link w:val="BoldNormalText"/>
    <w:rsid w:val="0014385F"/>
    <w:rPr>
      <w:rFonts w:asciiTheme="minorHAnsi" w:hAnsiTheme="minorHAnsi" w:cs="Arial"/>
      <w:b/>
      <w:sz w:val="24"/>
      <w:szCs w:val="24"/>
    </w:rPr>
  </w:style>
  <w:style w:type="paragraph" w:customStyle="1" w:styleId="StyleNumbering">
    <w:name w:val="Style Numbering"/>
    <w:basedOn w:val="ListParagraph"/>
    <w:link w:val="StyleNumberingChar"/>
    <w:qFormat/>
    <w:rsid w:val="005C1422"/>
    <w:pPr>
      <w:numPr>
        <w:numId w:val="12"/>
      </w:numPr>
    </w:pPr>
  </w:style>
  <w:style w:type="character" w:customStyle="1" w:styleId="ItalicnormaltextChar">
    <w:name w:val="Italic normal text Char"/>
    <w:basedOn w:val="DefaultParagraphFont"/>
    <w:link w:val="Italicnormaltext"/>
    <w:rsid w:val="0014385F"/>
    <w:rPr>
      <w:rFonts w:asciiTheme="minorHAnsi" w:hAnsiTheme="minorHAnsi" w:cs="Arial"/>
      <w:i/>
      <w:sz w:val="24"/>
      <w:szCs w:val="24"/>
    </w:rPr>
  </w:style>
  <w:style w:type="paragraph" w:styleId="ListBullet">
    <w:name w:val="List Bullet"/>
    <w:basedOn w:val="Normal"/>
    <w:qFormat/>
    <w:rsid w:val="0087313C"/>
    <w:pPr>
      <w:numPr>
        <w:numId w:val="32"/>
      </w:numPr>
      <w:tabs>
        <w:tab w:val="left" w:pos="357"/>
        <w:tab w:val="left" w:pos="720"/>
      </w:tabs>
      <w:contextualSpacing/>
    </w:pPr>
  </w:style>
  <w:style w:type="character" w:customStyle="1" w:styleId="ListParagraphChar">
    <w:name w:val="List Paragraph Char"/>
    <w:aliases w:val="Style Bullet Char"/>
    <w:basedOn w:val="DefaultParagraphFont"/>
    <w:link w:val="ListParagraph"/>
    <w:uiPriority w:val="34"/>
    <w:rsid w:val="006F4970"/>
    <w:rPr>
      <w:rFonts w:asciiTheme="minorHAnsi" w:hAnsiTheme="minorHAnsi" w:cs="Arial"/>
      <w:sz w:val="24"/>
      <w:szCs w:val="24"/>
    </w:rPr>
  </w:style>
  <w:style w:type="character" w:customStyle="1" w:styleId="StyleNumberingChar">
    <w:name w:val="Style Numbering Char"/>
    <w:basedOn w:val="ListParagraphChar"/>
    <w:link w:val="StyleNumbering"/>
    <w:rsid w:val="005C1422"/>
    <w:rPr>
      <w:rFonts w:asciiTheme="minorHAnsi" w:hAnsiTheme="minorHAnsi" w:cs="Arial"/>
      <w:sz w:val="24"/>
      <w:szCs w:val="24"/>
    </w:rPr>
  </w:style>
  <w:style w:type="paragraph" w:styleId="ListBullet2">
    <w:name w:val="List Bullet 2"/>
    <w:basedOn w:val="Normal"/>
    <w:rsid w:val="00863A50"/>
    <w:pPr>
      <w:numPr>
        <w:numId w:val="14"/>
      </w:numPr>
      <w:contextualSpacing/>
    </w:pPr>
  </w:style>
  <w:style w:type="paragraph" w:styleId="List">
    <w:name w:val="List"/>
    <w:basedOn w:val="Normal"/>
    <w:rsid w:val="00863A50"/>
    <w:pPr>
      <w:ind w:left="283" w:hanging="283"/>
      <w:contextualSpacing/>
    </w:pPr>
  </w:style>
  <w:style w:type="character" w:customStyle="1" w:styleId="StyleFootnoteReferenceArial">
    <w:name w:val="Style Footnote Reference + Arial"/>
    <w:basedOn w:val="FootnoteReference"/>
    <w:rsid w:val="00863A50"/>
    <w:rPr>
      <w:rFonts w:asciiTheme="minorHAnsi" w:hAnsiTheme="minorHAnsi"/>
      <w:sz w:val="20"/>
      <w:vertAlign w:val="superscript"/>
    </w:rPr>
  </w:style>
  <w:style w:type="paragraph" w:styleId="TOAHeading">
    <w:name w:val="toa heading"/>
    <w:basedOn w:val="Normal"/>
    <w:next w:val="Normal"/>
    <w:rsid w:val="00CC0AD5"/>
    <w:rPr>
      <w:rFonts w:asciiTheme="majorHAnsi" w:eastAsiaTheme="majorEastAsia" w:hAnsiTheme="majorHAnsi" w:cstheme="majorBidi"/>
      <w:b/>
      <w:bCs/>
    </w:rPr>
  </w:style>
  <w:style w:type="table" w:customStyle="1" w:styleId="Eunomia-Totals">
    <w:name w:val="Eunomia - Totals"/>
    <w:basedOn w:val="Eunomia-NoTotals"/>
    <w:uiPriority w:val="99"/>
    <w:rsid w:val="00FA7F0E"/>
    <w:tblPr/>
    <w:tblStylePr w:type="firstRow">
      <w:rPr>
        <w:b/>
      </w:rPr>
      <w:tblPr/>
      <w:tcPr>
        <w:tcBorders>
          <w:top w:val="single" w:sz="4" w:space="0" w:color="808080" w:themeColor="background1" w:themeShade="80"/>
        </w:tcBorders>
        <w:shd w:val="clear" w:color="auto" w:fill="BFBFBF" w:themeFill="background1" w:themeFillShade="BF"/>
      </w:tcPr>
    </w:tblStylePr>
    <w:tblStylePr w:type="lastRow">
      <w:tblPr/>
      <w:tcPr>
        <w:tcBorders>
          <w:bottom w:val="single" w:sz="4" w:space="0" w:color="808080" w:themeColor="background1" w:themeShade="80"/>
        </w:tcBorders>
        <w:shd w:val="clear" w:color="auto" w:fill="F2F2F2" w:themeFill="background1" w:themeFillShade="F2"/>
      </w:tcPr>
    </w:tblStylePr>
    <w:tblStylePr w:type="firstCol">
      <w:pPr>
        <w:jc w:val="left"/>
      </w:pPr>
      <w:rPr>
        <w:b/>
      </w:rPr>
      <w:tblPr/>
      <w:tcPr>
        <w:tcBorders>
          <w:left w:val="single" w:sz="4" w:space="0" w:color="808080" w:themeColor="background1" w:themeShade="80"/>
        </w:tcBorders>
        <w:shd w:val="clear" w:color="auto" w:fill="F2F2F2" w:themeFill="background1" w:themeFillShade="F2"/>
      </w:tcPr>
    </w:tblStylePr>
    <w:tblStylePr w:type="lastCol">
      <w:tblPr/>
      <w:tcPr>
        <w:tcBorders>
          <w:right w:val="single" w:sz="4" w:space="0" w:color="808080" w:themeColor="background1" w:themeShade="80"/>
        </w:tcBorders>
        <w:shd w:val="clear" w:color="auto" w:fill="F2F2F2" w:themeFill="background1" w:themeFillShade="F2"/>
      </w:tcPr>
    </w:tblStylePr>
  </w:style>
  <w:style w:type="paragraph" w:customStyle="1" w:styleId="WhiteArial12ptBold">
    <w:name w:val="White Arial 12pt Bold"/>
    <w:basedOn w:val="Normal"/>
    <w:link w:val="WhiteArial12ptBoldChar"/>
    <w:qFormat/>
    <w:rsid w:val="00B36056"/>
    <w:rPr>
      <w:rFonts w:ascii="Arial" w:hAnsi="Arial"/>
      <w:b/>
      <w:color w:val="FFFFFF" w:themeColor="background1"/>
    </w:rPr>
  </w:style>
  <w:style w:type="paragraph" w:customStyle="1" w:styleId="Authors">
    <w:name w:val="Authors"/>
    <w:basedOn w:val="Normal"/>
    <w:link w:val="AuthorsChar"/>
    <w:qFormat/>
    <w:rsid w:val="00B36056"/>
    <w:rPr>
      <w:rFonts w:ascii="Arial" w:hAnsi="Arial"/>
      <w:b/>
      <w:color w:val="00A79D" w:themeColor="accent3"/>
      <w:sz w:val="28"/>
      <w:szCs w:val="28"/>
    </w:rPr>
  </w:style>
  <w:style w:type="character" w:customStyle="1" w:styleId="WhiteArial12ptBoldChar">
    <w:name w:val="White Arial 12pt Bold Char"/>
    <w:basedOn w:val="DefaultParagraphFont"/>
    <w:link w:val="WhiteArial12ptBold"/>
    <w:rsid w:val="00B36056"/>
    <w:rPr>
      <w:rFonts w:ascii="Arial" w:hAnsi="Arial" w:cs="Arial"/>
      <w:b/>
      <w:color w:val="FFFFFF" w:themeColor="background1"/>
      <w:sz w:val="24"/>
      <w:szCs w:val="24"/>
    </w:rPr>
  </w:style>
  <w:style w:type="paragraph" w:customStyle="1" w:styleId="DocumentMainDate">
    <w:name w:val="Document Main Date"/>
    <w:basedOn w:val="Authors"/>
    <w:rsid w:val="00B36056"/>
    <w:rPr>
      <w:bCs/>
      <w:sz w:val="24"/>
    </w:rPr>
  </w:style>
  <w:style w:type="character" w:customStyle="1" w:styleId="AuthorsChar">
    <w:name w:val="Authors Char"/>
    <w:basedOn w:val="DefaultParagraphFont"/>
    <w:link w:val="Authors"/>
    <w:rsid w:val="00B36056"/>
    <w:rPr>
      <w:rFonts w:ascii="Arial" w:hAnsi="Arial" w:cs="Arial"/>
      <w:b/>
      <w:color w:val="00A79D" w:themeColor="accent3"/>
      <w:sz w:val="28"/>
      <w:szCs w:val="28"/>
    </w:rPr>
  </w:style>
  <w:style w:type="paragraph" w:customStyle="1" w:styleId="DocumentSubtitle">
    <w:name w:val="Document Subtitle"/>
    <w:basedOn w:val="Normal"/>
    <w:link w:val="DocumentSubtitleChar"/>
    <w:qFormat/>
    <w:rsid w:val="00B36056"/>
    <w:rPr>
      <w:rFonts w:ascii="Arial" w:hAnsi="Arial"/>
      <w:color w:val="FFFFFF" w:themeColor="background1"/>
      <w:sz w:val="40"/>
      <w:szCs w:val="40"/>
    </w:rPr>
  </w:style>
  <w:style w:type="paragraph" w:customStyle="1" w:styleId="AppendixTitle">
    <w:name w:val="Appendix Title"/>
    <w:basedOn w:val="DocumentTitle"/>
    <w:link w:val="AppendixTitleChar"/>
    <w:qFormat/>
    <w:rsid w:val="00ED644F"/>
    <w:pPr>
      <w:spacing w:before="3600"/>
    </w:pPr>
    <w:rPr>
      <w:color w:val="00A79D" w:themeColor="accent3"/>
    </w:rPr>
  </w:style>
  <w:style w:type="character" w:customStyle="1" w:styleId="DocumentSubtitleChar">
    <w:name w:val="Document Subtitle Char"/>
    <w:basedOn w:val="DefaultParagraphFont"/>
    <w:link w:val="DocumentSubtitle"/>
    <w:rsid w:val="00B36056"/>
    <w:rPr>
      <w:rFonts w:ascii="Arial" w:hAnsi="Arial" w:cs="Arial"/>
      <w:color w:val="FFFFFF" w:themeColor="background1"/>
      <w:sz w:val="40"/>
      <w:szCs w:val="40"/>
    </w:rPr>
  </w:style>
  <w:style w:type="paragraph" w:styleId="Quote">
    <w:name w:val="Quote"/>
    <w:basedOn w:val="Normal"/>
    <w:next w:val="Normal"/>
    <w:link w:val="QuoteChar"/>
    <w:uiPriority w:val="29"/>
    <w:qFormat/>
    <w:rsid w:val="00F37248"/>
    <w:pPr>
      <w:ind w:left="720"/>
    </w:pPr>
    <w:rPr>
      <w:i/>
    </w:rPr>
  </w:style>
  <w:style w:type="character" w:customStyle="1" w:styleId="DocumentTitleChar">
    <w:name w:val="Document Title Char"/>
    <w:basedOn w:val="DefaultParagraphFont"/>
    <w:link w:val="DocumentTitle"/>
    <w:rsid w:val="00ED644F"/>
    <w:rPr>
      <w:rFonts w:ascii="Arial" w:hAnsi="Arial" w:cs="Arial"/>
      <w:b/>
      <w:color w:val="FFFFFF" w:themeColor="background1"/>
      <w:sz w:val="56"/>
      <w:szCs w:val="56"/>
    </w:rPr>
  </w:style>
  <w:style w:type="character" w:customStyle="1" w:styleId="AppendixTitleChar">
    <w:name w:val="Appendix Title Char"/>
    <w:basedOn w:val="DocumentTitleChar"/>
    <w:link w:val="AppendixTitle"/>
    <w:rsid w:val="00ED644F"/>
    <w:rPr>
      <w:rFonts w:ascii="Arial" w:hAnsi="Arial" w:cs="Arial"/>
      <w:b/>
      <w:color w:val="00A79D" w:themeColor="accent3"/>
      <w:sz w:val="56"/>
      <w:szCs w:val="56"/>
    </w:rPr>
  </w:style>
  <w:style w:type="character" w:customStyle="1" w:styleId="QuoteChar">
    <w:name w:val="Quote Char"/>
    <w:basedOn w:val="DefaultParagraphFont"/>
    <w:link w:val="Quote"/>
    <w:uiPriority w:val="29"/>
    <w:rsid w:val="00F37248"/>
    <w:rPr>
      <w:rFonts w:asciiTheme="minorHAnsi" w:hAnsiTheme="minorHAnsi" w:cs="Arial"/>
      <w:i/>
      <w:sz w:val="24"/>
      <w:szCs w:val="24"/>
    </w:rPr>
  </w:style>
  <w:style w:type="paragraph" w:customStyle="1" w:styleId="CONTENTS">
    <w:name w:val="CONTENTS"/>
    <w:basedOn w:val="EXECSUMM"/>
    <w:link w:val="CONTENTSChar"/>
    <w:qFormat/>
    <w:rsid w:val="003615E4"/>
    <w:rPr>
      <w:sz w:val="36"/>
      <w:szCs w:val="36"/>
      <w:lang w:eastAsia="ja-JP"/>
    </w:rPr>
  </w:style>
  <w:style w:type="character" w:styleId="CommentReference">
    <w:name w:val="annotation reference"/>
    <w:basedOn w:val="DefaultParagraphFont"/>
    <w:rsid w:val="00A84017"/>
    <w:rPr>
      <w:sz w:val="16"/>
      <w:szCs w:val="16"/>
    </w:rPr>
  </w:style>
  <w:style w:type="character" w:customStyle="1" w:styleId="StyleArial20ptBoldAccent3TopSinglesolidlineAccentChar">
    <w:name w:val="Style Arial 20 pt Bold Accent 3 Top: (Single solid line Accent... Char"/>
    <w:basedOn w:val="DefaultParagraphFont"/>
    <w:link w:val="StyleArial20ptBoldAccent3TopSinglesolidlineAccent"/>
    <w:rsid w:val="00084654"/>
    <w:rPr>
      <w:rFonts w:ascii="Arial" w:hAnsi="Arial" w:cs="Arial"/>
      <w:b/>
      <w:bCs/>
      <w:color w:val="00A79D" w:themeColor="accent3"/>
      <w:sz w:val="40"/>
    </w:rPr>
  </w:style>
  <w:style w:type="character" w:customStyle="1" w:styleId="EXECSUMMChar">
    <w:name w:val="EXEC SUMM Char"/>
    <w:basedOn w:val="StyleArial20ptBoldAccent3TopSinglesolidlineAccentChar"/>
    <w:link w:val="EXECSUMM"/>
    <w:rsid w:val="00276F3D"/>
    <w:rPr>
      <w:rFonts w:ascii="Arial" w:hAnsi="Arial" w:cs="Arial"/>
      <w:b/>
      <w:bCs/>
      <w:color w:val="00A79D" w:themeColor="accent3"/>
      <w:sz w:val="40"/>
    </w:rPr>
  </w:style>
  <w:style w:type="character" w:customStyle="1" w:styleId="CONTENTSChar">
    <w:name w:val="CONTENTS Char"/>
    <w:basedOn w:val="EXECSUMMChar"/>
    <w:link w:val="CONTENTS"/>
    <w:rsid w:val="003615E4"/>
    <w:rPr>
      <w:rFonts w:ascii="Arial" w:hAnsi="Arial" w:cs="Arial"/>
      <w:b/>
      <w:bCs/>
      <w:color w:val="00A79D" w:themeColor="accent3"/>
      <w:sz w:val="36"/>
      <w:szCs w:val="36"/>
      <w:lang w:val="en-US" w:eastAsia="ja-JP"/>
    </w:rPr>
  </w:style>
  <w:style w:type="paragraph" w:styleId="CommentText">
    <w:name w:val="annotation text"/>
    <w:basedOn w:val="Normal"/>
    <w:link w:val="CommentTextChar"/>
    <w:rsid w:val="00A84017"/>
    <w:rPr>
      <w:sz w:val="20"/>
      <w:szCs w:val="20"/>
    </w:rPr>
  </w:style>
  <w:style w:type="character" w:customStyle="1" w:styleId="CommentTextChar">
    <w:name w:val="Comment Text Char"/>
    <w:basedOn w:val="DefaultParagraphFont"/>
    <w:link w:val="CommentText"/>
    <w:rsid w:val="00A84017"/>
    <w:rPr>
      <w:rFonts w:asciiTheme="minorHAnsi" w:hAnsiTheme="minorHAnsi" w:cs="Arial"/>
    </w:rPr>
  </w:style>
  <w:style w:type="paragraph" w:styleId="CommentSubject">
    <w:name w:val="annotation subject"/>
    <w:basedOn w:val="CommentText"/>
    <w:next w:val="CommentText"/>
    <w:link w:val="CommentSubjectChar"/>
    <w:rsid w:val="00A84017"/>
    <w:rPr>
      <w:b/>
      <w:bCs/>
    </w:rPr>
  </w:style>
  <w:style w:type="character" w:customStyle="1" w:styleId="CommentSubjectChar">
    <w:name w:val="Comment Subject Char"/>
    <w:basedOn w:val="CommentTextChar"/>
    <w:link w:val="CommentSubject"/>
    <w:rsid w:val="00A84017"/>
    <w:rPr>
      <w:rFonts w:asciiTheme="minorHAnsi" w:hAnsiTheme="minorHAnsi" w:cs="Arial"/>
      <w:b/>
      <w:bCs/>
    </w:rPr>
  </w:style>
  <w:style w:type="table" w:customStyle="1" w:styleId="Eunomia-NoTotals">
    <w:name w:val="Eunomia - No Totals"/>
    <w:basedOn w:val="TableNormal"/>
    <w:uiPriority w:val="99"/>
    <w:rsid w:val="007D286D"/>
    <w:pPr>
      <w:spacing w:before="60" w:after="60"/>
      <w:jc w:val="right"/>
    </w:pPr>
    <w:rPr>
      <w:rFonts w:ascii="Calibri" w:hAnsi="Calibri"/>
      <w:sz w:val="24"/>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dotted" w:sz="4" w:space="0" w:color="BFBFBF" w:themeColor="background1" w:themeShade="BF"/>
        <w:insideV w:val="single" w:sz="4" w:space="0" w:color="00A79D" w:themeColor="accent3"/>
      </w:tblBorders>
    </w:tblPr>
    <w:trPr>
      <w:cantSplit/>
    </w:trPr>
    <w:tcPr>
      <w:vAlign w:val="center"/>
    </w:tcPr>
    <w:tblStylePr w:type="firstRow">
      <w:rPr>
        <w:b/>
      </w:rPr>
      <w:tblPr/>
      <w:tcPr>
        <w:tcBorders>
          <w:top w:val="single" w:sz="4" w:space="0" w:color="A6A6A6" w:themeColor="background1" w:themeShade="A6"/>
        </w:tcBorders>
        <w:shd w:val="clear" w:color="auto" w:fill="BFBFBF" w:themeFill="background1" w:themeFillShade="BF"/>
      </w:tcPr>
    </w:tblStylePr>
    <w:tblStylePr w:type="lastRow">
      <w:tblPr/>
      <w:tcPr>
        <w:tcBorders>
          <w:bottom w:val="single" w:sz="4" w:space="0" w:color="A6A6A6" w:themeColor="background1" w:themeShade="A6"/>
        </w:tcBorders>
      </w:tcPr>
    </w:tblStylePr>
    <w:tblStylePr w:type="firstCol">
      <w:pPr>
        <w:jc w:val="left"/>
      </w:pPr>
      <w:rPr>
        <w:b/>
      </w:rPr>
      <w:tblPr/>
      <w:tcPr>
        <w:tcBorders>
          <w:left w:val="single" w:sz="4" w:space="0" w:color="A6A6A6" w:themeColor="background1" w:themeShade="A6"/>
        </w:tcBorders>
        <w:shd w:val="clear" w:color="auto" w:fill="F2F2F2" w:themeFill="background1" w:themeFillShade="F2"/>
      </w:tcPr>
    </w:tblStylePr>
    <w:tblStylePr w:type="lastCol">
      <w:tblPr/>
      <w:tcPr>
        <w:tcBorders>
          <w:right w:val="single" w:sz="4" w:space="0" w:color="A6A6A6" w:themeColor="background1" w:themeShade="A6"/>
        </w:tcBorders>
      </w:tcPr>
    </w:tblStylePr>
  </w:style>
  <w:style w:type="paragraph" w:customStyle="1" w:styleId="ExecSummHead3">
    <w:name w:val="Exec Summ Head 3"/>
    <w:basedOn w:val="ExecSummHead2"/>
    <w:link w:val="ExecSummHead3Char"/>
    <w:qFormat/>
    <w:rsid w:val="00D36E48"/>
    <w:pPr>
      <w:numPr>
        <w:ilvl w:val="2"/>
        <w:numId w:val="25"/>
      </w:numPr>
    </w:pPr>
    <w:rPr>
      <w:sz w:val="26"/>
    </w:rPr>
  </w:style>
  <w:style w:type="paragraph" w:customStyle="1" w:styleId="ExecSummHead4">
    <w:name w:val="Exec Summ Head 4"/>
    <w:basedOn w:val="ExecSummHead3"/>
    <w:link w:val="ExecSummHead4Char"/>
    <w:qFormat/>
    <w:rsid w:val="00D36E48"/>
    <w:pPr>
      <w:numPr>
        <w:ilvl w:val="3"/>
      </w:numPr>
    </w:pPr>
    <w:rPr>
      <w:sz w:val="24"/>
      <w:szCs w:val="24"/>
    </w:rPr>
  </w:style>
  <w:style w:type="character" w:customStyle="1" w:styleId="Heading2Char">
    <w:name w:val="Heading 2 Char"/>
    <w:basedOn w:val="DefaultParagraphFont"/>
    <w:link w:val="Heading2"/>
    <w:rsid w:val="006B0C19"/>
    <w:rPr>
      <w:rFonts w:ascii="Arial" w:hAnsi="Arial" w:cs="Arial"/>
      <w:b/>
      <w:bCs/>
      <w:iCs/>
      <w:color w:val="00A79D" w:themeColor="accent3"/>
      <w:sz w:val="30"/>
      <w:szCs w:val="28"/>
    </w:rPr>
  </w:style>
  <w:style w:type="character" w:customStyle="1" w:styleId="ExecSummHead2Char">
    <w:name w:val="Exec Summ Head 2 Char"/>
    <w:basedOn w:val="Heading2Char"/>
    <w:link w:val="ExecSummHead2"/>
    <w:rsid w:val="006B0C19"/>
    <w:rPr>
      <w:rFonts w:ascii="Arial" w:hAnsi="Arial" w:cs="Arial"/>
      <w:b/>
      <w:bCs/>
      <w:iCs/>
      <w:color w:val="00A79D" w:themeColor="accent3"/>
      <w:sz w:val="30"/>
      <w:szCs w:val="28"/>
    </w:rPr>
  </w:style>
  <w:style w:type="character" w:customStyle="1" w:styleId="ExecSummHead3Char">
    <w:name w:val="Exec Summ Head 3 Char"/>
    <w:basedOn w:val="ExecSummHead2Char"/>
    <w:link w:val="ExecSummHead3"/>
    <w:rsid w:val="00D36E48"/>
    <w:rPr>
      <w:rFonts w:ascii="Arial" w:hAnsi="Arial" w:cs="Arial"/>
      <w:b/>
      <w:bCs/>
      <w:iCs/>
      <w:color w:val="00A79D" w:themeColor="accent3"/>
      <w:sz w:val="26"/>
      <w:szCs w:val="28"/>
    </w:rPr>
  </w:style>
  <w:style w:type="paragraph" w:customStyle="1" w:styleId="Normal-11pt">
    <w:name w:val="Normal - 11pt"/>
    <w:basedOn w:val="Normal"/>
    <w:link w:val="Normal-11ptChar"/>
    <w:qFormat/>
    <w:rsid w:val="00B2059C"/>
    <w:rPr>
      <w:sz w:val="22"/>
      <w:szCs w:val="22"/>
    </w:rPr>
  </w:style>
  <w:style w:type="character" w:customStyle="1" w:styleId="ExecSummHead4Char">
    <w:name w:val="Exec Summ Head 4 Char"/>
    <w:basedOn w:val="ExecSummHead3Char"/>
    <w:link w:val="ExecSummHead4"/>
    <w:rsid w:val="00D36E48"/>
    <w:rPr>
      <w:rFonts w:ascii="Arial" w:hAnsi="Arial" w:cs="Arial"/>
      <w:b/>
      <w:bCs/>
      <w:iCs/>
      <w:color w:val="00A79D" w:themeColor="accent3"/>
      <w:sz w:val="24"/>
      <w:szCs w:val="24"/>
    </w:rPr>
  </w:style>
  <w:style w:type="paragraph" w:customStyle="1" w:styleId="Normal-11pt-table">
    <w:name w:val="Normal - 11pt - table"/>
    <w:basedOn w:val="Normal"/>
    <w:link w:val="Normal-11pt-tableChar"/>
    <w:qFormat/>
    <w:rsid w:val="00B2059C"/>
    <w:pPr>
      <w:spacing w:before="60" w:after="60"/>
    </w:pPr>
    <w:rPr>
      <w:sz w:val="22"/>
      <w:szCs w:val="22"/>
    </w:rPr>
  </w:style>
  <w:style w:type="character" w:customStyle="1" w:styleId="Normal-11ptChar">
    <w:name w:val="Normal - 11pt Char"/>
    <w:basedOn w:val="DefaultParagraphFont"/>
    <w:link w:val="Normal-11pt"/>
    <w:rsid w:val="00B2059C"/>
    <w:rPr>
      <w:rFonts w:asciiTheme="minorHAnsi" w:hAnsiTheme="minorHAnsi" w:cs="Arial"/>
      <w:sz w:val="22"/>
      <w:szCs w:val="22"/>
    </w:rPr>
  </w:style>
  <w:style w:type="paragraph" w:customStyle="1" w:styleId="Normal-11pt-tableitalic">
    <w:name w:val="Normal - 11pt - table italic"/>
    <w:basedOn w:val="Normal"/>
    <w:link w:val="Normal-11pt-tableitalicChar"/>
    <w:qFormat/>
    <w:rsid w:val="00B2059C"/>
    <w:pPr>
      <w:spacing w:before="60" w:after="60"/>
    </w:pPr>
    <w:rPr>
      <w:i/>
      <w:sz w:val="22"/>
      <w:szCs w:val="22"/>
    </w:rPr>
  </w:style>
  <w:style w:type="character" w:customStyle="1" w:styleId="Normal-11pt-tableChar">
    <w:name w:val="Normal - 11pt - table Char"/>
    <w:basedOn w:val="DefaultParagraphFont"/>
    <w:link w:val="Normal-11pt-table"/>
    <w:rsid w:val="00B2059C"/>
    <w:rPr>
      <w:rFonts w:asciiTheme="minorHAnsi" w:hAnsiTheme="minorHAnsi" w:cs="Arial"/>
      <w:sz w:val="22"/>
      <w:szCs w:val="22"/>
    </w:rPr>
  </w:style>
  <w:style w:type="paragraph" w:customStyle="1" w:styleId="Normal-11pt-TableBold">
    <w:name w:val="Normal - 11pt - Table Bold"/>
    <w:basedOn w:val="Normal"/>
    <w:link w:val="Normal-11pt-TableBoldChar"/>
    <w:qFormat/>
    <w:rsid w:val="00B2059C"/>
    <w:pPr>
      <w:spacing w:before="60" w:after="60"/>
    </w:pPr>
    <w:rPr>
      <w:b/>
      <w:sz w:val="22"/>
      <w:szCs w:val="22"/>
    </w:rPr>
  </w:style>
  <w:style w:type="character" w:customStyle="1" w:styleId="Normal-11pt-tableitalicChar">
    <w:name w:val="Normal - 11pt - table italic Char"/>
    <w:basedOn w:val="DefaultParagraphFont"/>
    <w:link w:val="Normal-11pt-tableitalic"/>
    <w:rsid w:val="00B2059C"/>
    <w:rPr>
      <w:rFonts w:asciiTheme="minorHAnsi" w:hAnsiTheme="minorHAnsi" w:cs="Arial"/>
      <w:i/>
      <w:sz w:val="22"/>
      <w:szCs w:val="22"/>
    </w:rPr>
  </w:style>
  <w:style w:type="paragraph" w:customStyle="1" w:styleId="Normal-10pt-TableBold">
    <w:name w:val="Normal - 10pt - Table Bold"/>
    <w:basedOn w:val="Normal-11pt-TableBold"/>
    <w:link w:val="Normal-10pt-TableBoldChar"/>
    <w:qFormat/>
    <w:rsid w:val="00B2059C"/>
    <w:rPr>
      <w:sz w:val="20"/>
    </w:rPr>
  </w:style>
  <w:style w:type="character" w:customStyle="1" w:styleId="Normal-11pt-TableBoldChar">
    <w:name w:val="Normal - 11pt - Table Bold Char"/>
    <w:basedOn w:val="DefaultParagraphFont"/>
    <w:link w:val="Normal-11pt-TableBold"/>
    <w:rsid w:val="00B2059C"/>
    <w:rPr>
      <w:rFonts w:asciiTheme="minorHAnsi" w:hAnsiTheme="minorHAnsi" w:cs="Arial"/>
      <w:b/>
      <w:sz w:val="22"/>
      <w:szCs w:val="22"/>
    </w:rPr>
  </w:style>
  <w:style w:type="paragraph" w:customStyle="1" w:styleId="Normal-10pt-TableItalic">
    <w:name w:val="Normal - 10pt - Table Italic"/>
    <w:basedOn w:val="Normal-11pt-tableitalic"/>
    <w:link w:val="Normal-10pt-TableItalicChar"/>
    <w:qFormat/>
    <w:rsid w:val="00B2059C"/>
    <w:rPr>
      <w:sz w:val="20"/>
    </w:rPr>
  </w:style>
  <w:style w:type="character" w:customStyle="1" w:styleId="Normal-10pt-TableBoldChar">
    <w:name w:val="Normal - 10pt - Table Bold Char"/>
    <w:basedOn w:val="Normal-11pt-TableBoldChar"/>
    <w:link w:val="Normal-10pt-TableBold"/>
    <w:rsid w:val="00B2059C"/>
    <w:rPr>
      <w:rFonts w:asciiTheme="minorHAnsi" w:hAnsiTheme="minorHAnsi" w:cs="Arial"/>
      <w:b/>
      <w:sz w:val="22"/>
      <w:szCs w:val="22"/>
    </w:rPr>
  </w:style>
  <w:style w:type="paragraph" w:customStyle="1" w:styleId="Normal-10pt-Table">
    <w:name w:val="Normal - 10pt - Table"/>
    <w:basedOn w:val="Normal-11pt-table"/>
    <w:link w:val="Normal-10pt-TableChar"/>
    <w:qFormat/>
    <w:rsid w:val="00B2059C"/>
    <w:rPr>
      <w:sz w:val="20"/>
    </w:rPr>
  </w:style>
  <w:style w:type="character" w:customStyle="1" w:styleId="Normal-10pt-TableItalicChar">
    <w:name w:val="Normal - 10pt - Table Italic Char"/>
    <w:basedOn w:val="Normal-11pt-tableitalicChar"/>
    <w:link w:val="Normal-10pt-TableItalic"/>
    <w:rsid w:val="00B2059C"/>
    <w:rPr>
      <w:rFonts w:asciiTheme="minorHAnsi" w:hAnsiTheme="minorHAnsi" w:cs="Arial"/>
      <w:i/>
      <w:sz w:val="22"/>
      <w:szCs w:val="22"/>
    </w:rPr>
  </w:style>
  <w:style w:type="paragraph" w:customStyle="1" w:styleId="Normal-Table">
    <w:name w:val="Normal - Table"/>
    <w:basedOn w:val="Normal"/>
    <w:link w:val="Normal-TableChar"/>
    <w:qFormat/>
    <w:rsid w:val="00B2059C"/>
    <w:pPr>
      <w:spacing w:before="60" w:after="60"/>
    </w:pPr>
  </w:style>
  <w:style w:type="character" w:customStyle="1" w:styleId="Normal-10pt-TableChar">
    <w:name w:val="Normal - 10pt - Table Char"/>
    <w:basedOn w:val="Normal-11pt-tableChar"/>
    <w:link w:val="Normal-10pt-Table"/>
    <w:rsid w:val="00B2059C"/>
    <w:rPr>
      <w:rFonts w:asciiTheme="minorHAnsi" w:hAnsiTheme="minorHAnsi" w:cs="Arial"/>
      <w:sz w:val="22"/>
      <w:szCs w:val="22"/>
    </w:rPr>
  </w:style>
  <w:style w:type="character" w:customStyle="1" w:styleId="Normal-TableChar">
    <w:name w:val="Normal - Table Char"/>
    <w:basedOn w:val="DefaultParagraphFont"/>
    <w:link w:val="Normal-Table"/>
    <w:rsid w:val="00B2059C"/>
    <w:rPr>
      <w:rFonts w:asciiTheme="minorHAnsi" w:hAnsiTheme="minorHAnsi" w:cs="Arial"/>
      <w:sz w:val="24"/>
      <w:szCs w:val="24"/>
    </w:rPr>
  </w:style>
  <w:style w:type="numbering" w:customStyle="1" w:styleId="Style1">
    <w:name w:val="Style1"/>
    <w:uiPriority w:val="99"/>
    <w:rsid w:val="007D4779"/>
    <w:pPr>
      <w:numPr>
        <w:numId w:val="28"/>
      </w:numPr>
    </w:pPr>
  </w:style>
  <w:style w:type="numbering" w:customStyle="1" w:styleId="StyleEunomiaBullets">
    <w:name w:val="Style Eunomia Bullets"/>
    <w:uiPriority w:val="99"/>
    <w:rsid w:val="003E673F"/>
    <w:pPr>
      <w:numPr>
        <w:numId w:val="30"/>
      </w:numPr>
    </w:pPr>
  </w:style>
  <w:style w:type="numbering" w:customStyle="1" w:styleId="EunomiaStyleBullets">
    <w:name w:val="Eunomia Style Bullets"/>
    <w:uiPriority w:val="99"/>
    <w:rsid w:val="003E673F"/>
    <w:pPr>
      <w:numPr>
        <w:numId w:val="31"/>
      </w:numPr>
    </w:pPr>
  </w:style>
  <w:style w:type="character" w:styleId="UnresolvedMention">
    <w:name w:val="Unresolved Mention"/>
    <w:basedOn w:val="DefaultParagraphFont"/>
    <w:uiPriority w:val="99"/>
    <w:unhideWhenUsed/>
    <w:rsid w:val="002C06B6"/>
    <w:rPr>
      <w:color w:val="605E5C"/>
      <w:shd w:val="clear" w:color="auto" w:fill="E1DFDD"/>
    </w:rPr>
  </w:style>
  <w:style w:type="character" w:styleId="Mention">
    <w:name w:val="Mention"/>
    <w:basedOn w:val="DefaultParagraphFont"/>
    <w:uiPriority w:val="99"/>
    <w:unhideWhenUsed/>
    <w:rsid w:val="00D66474"/>
    <w:rPr>
      <w:color w:val="2B579A"/>
      <w:shd w:val="clear" w:color="auto" w:fill="E1DFDD"/>
    </w:rPr>
  </w:style>
  <w:style w:type="paragraph" w:styleId="Revision">
    <w:name w:val="Revision"/>
    <w:hidden/>
    <w:uiPriority w:val="99"/>
    <w:semiHidden/>
    <w:rsid w:val="00D0729D"/>
    <w:rPr>
      <w:rFonts w:asciiTheme="minorHAnsi" w:hAnsiTheme="minorHAnsi" w:cs="Arial"/>
      <w:sz w:val="24"/>
      <w:szCs w:val="24"/>
    </w:rPr>
  </w:style>
  <w:style w:type="character" w:customStyle="1" w:styleId="FootnoteTextChar">
    <w:name w:val="Footnote Text Char"/>
    <w:basedOn w:val="DefaultParagraphFont"/>
    <w:link w:val="FootnoteText"/>
    <w:semiHidden/>
    <w:rsid w:val="006E722D"/>
    <w:rPr>
      <w:rFonts w:asciiTheme="minorHAnsi" w:hAnsiTheme="min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17542">
      <w:bodyDiv w:val="1"/>
      <w:marLeft w:val="0"/>
      <w:marRight w:val="0"/>
      <w:marTop w:val="0"/>
      <w:marBottom w:val="0"/>
      <w:divBdr>
        <w:top w:val="none" w:sz="0" w:space="0" w:color="auto"/>
        <w:left w:val="none" w:sz="0" w:space="0" w:color="auto"/>
        <w:bottom w:val="none" w:sz="0" w:space="0" w:color="auto"/>
        <w:right w:val="none" w:sz="0" w:space="0" w:color="auto"/>
      </w:divBdr>
    </w:div>
    <w:div w:id="937254313">
      <w:bodyDiv w:val="1"/>
      <w:marLeft w:val="0"/>
      <w:marRight w:val="0"/>
      <w:marTop w:val="0"/>
      <w:marBottom w:val="0"/>
      <w:divBdr>
        <w:top w:val="none" w:sz="0" w:space="0" w:color="auto"/>
        <w:left w:val="none" w:sz="0" w:space="0" w:color="auto"/>
        <w:bottom w:val="none" w:sz="0" w:space="0" w:color="auto"/>
        <w:right w:val="none" w:sz="0" w:space="0" w:color="auto"/>
      </w:divBdr>
    </w:div>
    <w:div w:id="18282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appsso.eurostat.ec.europa.eu/nui/show.do?dataset=env_wasmun&amp;lang=en" TargetMode="External"/><Relationship Id="rId3" Type="http://schemas.openxmlformats.org/officeDocument/2006/relationships/hyperlink" Target="http://www.alumi-can.or.jp/publics/index/62/" TargetMode="External"/><Relationship Id="rId7" Type="http://schemas.openxmlformats.org/officeDocument/2006/relationships/hyperlink" Target="https://www.unesda.eu/pet-recycling-rates-across-europe/" TargetMode="External"/><Relationship Id="rId12" Type="http://schemas.openxmlformats.org/officeDocument/2006/relationships/hyperlink" Target="https://www.statista.com/statistics/1133827/brazil-recycled-pet-consumers-sector/" TargetMode="External"/><Relationship Id="rId2" Type="http://schemas.openxmlformats.org/officeDocument/2006/relationships/hyperlink" Target="https://feve.org/glass_recycling_stats_2018/" TargetMode="External"/><Relationship Id="rId1" Type="http://schemas.openxmlformats.org/officeDocument/2006/relationships/hyperlink" Target="https://www.european-aluminium.eu/media/3401/european-aluminium-mpe-alubevcan-2019-recycling-rate_press-release-16-december.pdf" TargetMode="External"/><Relationship Id="rId6" Type="http://schemas.openxmlformats.org/officeDocument/2006/relationships/hyperlink" Target="https://sinir.gov.br/images/sinir/Embalagens%20em%20Geral/Anexo_II-III-IV-V.pdf" TargetMode="External"/><Relationship Id="rId11" Type="http://schemas.openxmlformats.org/officeDocument/2006/relationships/hyperlink" Target="https://www.britglass.org.uk/sites/default/files/British%20Glass%20DRS%20Consultation%20Response%20-%20final.pdf" TargetMode="External"/><Relationship Id="rId5" Type="http://schemas.openxmlformats.org/officeDocument/2006/relationships/hyperlink" Target="https://www.glass-3r.jp/" TargetMode="External"/><Relationship Id="rId10" Type="http://schemas.openxmlformats.org/officeDocument/2006/relationships/hyperlink" Target="https://www.petnology.com/competence-magazine/news-details/pet-bottle-to-bottle-recycling-with-the-mrs-extrusion-concept.html" TargetMode="External"/><Relationship Id="rId4" Type="http://schemas.openxmlformats.org/officeDocument/2006/relationships/hyperlink" Target="https://www.petbottle-rec.gr.jp/english/" TargetMode="External"/><Relationship Id="rId9" Type="http://schemas.openxmlformats.org/officeDocument/2006/relationships/hyperlink" Target="https://www.zerowastescotland.org.uk/sites/default/files/Glass%20Collection%20%26%20Re-processing%20Options%20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UN_Templates\Eunomia_Briefing%20Note.dotm" TargetMode="External"/></Relationships>
</file>

<file path=word/theme/theme1.xml><?xml version="1.0" encoding="utf-8"?>
<a:theme xmlns:a="http://schemas.openxmlformats.org/drawingml/2006/main" name="Office Theme">
  <a:themeElements>
    <a:clrScheme name="Eunomia New Colours">
      <a:dk1>
        <a:sysClr val="windowText" lastClr="000000"/>
      </a:dk1>
      <a:lt1>
        <a:sysClr val="window" lastClr="FFFFFF"/>
      </a:lt1>
      <a:dk2>
        <a:srgbClr val="1F497D"/>
      </a:dk2>
      <a:lt2>
        <a:srgbClr val="EEECE1"/>
      </a:lt2>
      <a:accent1>
        <a:srgbClr val="2AA9E0"/>
      </a:accent1>
      <a:accent2>
        <a:srgbClr val="FAB816"/>
      </a:accent2>
      <a:accent3>
        <a:srgbClr val="00A79D"/>
      </a:accent3>
      <a:accent4>
        <a:srgbClr val="F15D25"/>
      </a:accent4>
      <a:accent5>
        <a:srgbClr val="6E9D40"/>
      </a:accent5>
      <a:accent6>
        <a:srgbClr val="8E275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EA2DCDABDF445A86FC6908F54AC80" ma:contentTypeVersion="16" ma:contentTypeDescription="Create a new document." ma:contentTypeScope="" ma:versionID="479bdb49729fb62930333bf70957aaaf">
  <xsd:schema xmlns:xsd="http://www.w3.org/2001/XMLSchema" xmlns:xs="http://www.w3.org/2001/XMLSchema" xmlns:p="http://schemas.microsoft.com/office/2006/metadata/properties" xmlns:ns2="c37b5790-acd4-42f4-8325-bee80aaab7c3" xmlns:ns3="830b4a80-df52-4f19-a9d2-14f553f08061" targetNamespace="http://schemas.microsoft.com/office/2006/metadata/properties" ma:root="true" ma:fieldsID="0368074fb2b2a2c53fb04f10a7bf2e78" ns2:_="" ns3:_="">
    <xsd:import namespace="c37b5790-acd4-42f4-8325-bee80aaab7c3"/>
    <xsd:import namespace="830b4a80-df52-4f19-a9d2-14f553f0806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b5790-acd4-42f4-8325-bee80aaab7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b4a80-df52-4f19-a9d2-14f553f080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37b5790-acd4-42f4-8325-bee80aaab7c3">HXSSKMFARZKA-1519940043-1639373</_dlc_DocId>
    <_dlc_DocIdUrl xmlns="c37b5790-acd4-42f4-8325-bee80aaab7c3">
      <Url>https://eunomiacouk.sharepoint.com/sites/EunomiaDrive/_layouts/15/DocIdRedir.aspx?ID=HXSSKMFARZKA-1519940043-1639373</Url>
      <Description>HXSSKMFARZKA-1519940043-1639373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834D1-CE74-48A7-9AF8-D04026353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b5790-acd4-42f4-8325-bee80aaab7c3"/>
    <ds:schemaRef ds:uri="830b4a80-df52-4f19-a9d2-14f553f08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457AE-6B31-47F0-8406-EA34E5B10041}">
  <ds:schemaRefs>
    <ds:schemaRef ds:uri="http://schemas.microsoft.com/sharepoint/v3/contenttype/forms"/>
  </ds:schemaRefs>
</ds:datastoreItem>
</file>

<file path=customXml/itemProps3.xml><?xml version="1.0" encoding="utf-8"?>
<ds:datastoreItem xmlns:ds="http://schemas.openxmlformats.org/officeDocument/2006/customXml" ds:itemID="{F5F95087-03AE-490F-96F2-5E64473F0BC6}">
  <ds:schemaRefs>
    <ds:schemaRef ds:uri="http://schemas.microsoft.com/office/2006/metadata/properties"/>
    <ds:schemaRef ds:uri="http://schemas.microsoft.com/office/infopath/2007/PartnerControls"/>
    <ds:schemaRef ds:uri="c37b5790-acd4-42f4-8325-bee80aaab7c3"/>
  </ds:schemaRefs>
</ds:datastoreItem>
</file>

<file path=customXml/itemProps4.xml><?xml version="1.0" encoding="utf-8"?>
<ds:datastoreItem xmlns:ds="http://schemas.openxmlformats.org/officeDocument/2006/customXml" ds:itemID="{AAFD3145-E022-4279-B17B-3C9A18B0CC7C}">
  <ds:schemaRefs>
    <ds:schemaRef ds:uri="http://schemas.microsoft.com/sharepoint/events"/>
  </ds:schemaRefs>
</ds:datastoreItem>
</file>

<file path=customXml/itemProps5.xml><?xml version="1.0" encoding="utf-8"?>
<ds:datastoreItem xmlns:ds="http://schemas.openxmlformats.org/officeDocument/2006/customXml" ds:itemID="{0F708972-230F-41E7-87C6-CDF910C6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Eunomia_Briefing Note.dotm</Template>
  <TotalTime>1</TotalTime>
  <Pages>9</Pages>
  <Words>1762</Words>
  <Characters>10046</Characters>
  <Application>Microsoft Office Word</Application>
  <DocSecurity>0</DocSecurity>
  <Lines>83</Lines>
  <Paragraphs>23</Paragraphs>
  <ScaleCrop>false</ScaleCrop>
  <Company>HP</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 layout</dc:title>
  <dc:subject/>
  <dc:creator>James Brooke</dc:creator>
  <cp:keywords/>
  <cp:lastModifiedBy>Marlen Bertram</cp:lastModifiedBy>
  <cp:revision>2</cp:revision>
  <cp:lastPrinted>2005-01-18T18:06:00Z</cp:lastPrinted>
  <dcterms:created xsi:type="dcterms:W3CDTF">2022-02-15T13:35:00Z</dcterms:created>
  <dcterms:modified xsi:type="dcterms:W3CDTF">2022-02-15T13:35:00Z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0x010100811EA2DCDABDF445A86FC6908F54AC80</vt:lpwstr>
  </property>
  <property fmtid="{D5CDD505-2E9C-101B-9397-08002B2CF9AE}" pid="3" name="ZOTERO_PREF_1">
    <vt:lpwstr>&lt;data data-version="3" zotero-version="5.0.96.3"&gt;&lt;session id="PsZmARmb"/&gt;&lt;style id="http://www.zotero.org/styles/eunomia" hasBibliography="1" bibliographyStyleHasBeenSet="0"/&gt;&lt;prefs&gt;&lt;pref name="fieldType" value="Field"/&gt;&lt;pref name="automaticJournalAbbrevi</vt:lpwstr>
  </property>
  <property fmtid="{D5CDD505-2E9C-101B-9397-08002B2CF9AE}" pid="4" name="ZOTERO_PREF_2">
    <vt:lpwstr>ations" value="true"/&gt;&lt;pref name="noteType" value="1"/&gt;&lt;/prefs&gt;&lt;/data&gt;</vt:lpwstr>
  </property>
  <property fmtid="{D5CDD505-2E9C-101B-9397-08002B2CF9AE}" pid="5" name="_dlc_DocIdItemGuid">
    <vt:lpwstr>62931569-45f8-4a77-bfad-a412572b5f32</vt:lpwstr>
  </property>
</Properties>
</file>